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E5B6B" w14:textId="77777777" w:rsidR="003F020D" w:rsidRPr="00374823" w:rsidRDefault="003F020D" w:rsidP="00374823">
      <w:pPr>
        <w:pStyle w:val="Nagwek1"/>
        <w:rPr>
          <w:rFonts w:ascii="Open Sans" w:hAnsi="Open Sans" w:cs="Open Sans"/>
          <w:b/>
          <w:bCs/>
          <w:color w:val="auto"/>
          <w:sz w:val="22"/>
          <w:szCs w:val="22"/>
        </w:rPr>
      </w:pPr>
      <w:r w:rsidRPr="00374823">
        <w:rPr>
          <w:rFonts w:ascii="Open Sans" w:hAnsi="Open Sans" w:cs="Open Sans"/>
          <w:b/>
          <w:bCs/>
          <w:color w:val="auto"/>
          <w:sz w:val="22"/>
          <w:szCs w:val="22"/>
        </w:rPr>
        <w:t>Instrukcja sporządzania Studium Wykonalności przedsięwzięcia ubiegającego się o dofinansowanie ze środków NFOŚiGW - generator</w:t>
      </w:r>
    </w:p>
    <w:p w14:paraId="7855D8C2" w14:textId="77777777" w:rsidR="003F020D" w:rsidRPr="009D3041" w:rsidRDefault="003F020D" w:rsidP="009D3041">
      <w:pPr>
        <w:pStyle w:val="Tekstpodstawowy"/>
        <w:numPr>
          <w:ilvl w:val="0"/>
          <w:numId w:val="6"/>
        </w:numPr>
        <w:spacing w:before="480" w:beforeAutospacing="0" w:line="276" w:lineRule="auto"/>
        <w:ind w:left="284" w:hanging="284"/>
        <w:jc w:val="left"/>
        <w:rPr>
          <w:rFonts w:ascii="Open Sans" w:hAnsi="Open Sans" w:cs="Open Sans"/>
          <w:i/>
          <w:sz w:val="22"/>
          <w:szCs w:val="22"/>
        </w:rPr>
      </w:pPr>
      <w:r w:rsidRPr="009D3041">
        <w:rPr>
          <w:rFonts w:ascii="Open Sans" w:hAnsi="Open Sans" w:cs="Open Sans"/>
          <w:i/>
          <w:sz w:val="22"/>
          <w:szCs w:val="22"/>
        </w:rPr>
        <w:t>Informacje ogólne</w:t>
      </w:r>
    </w:p>
    <w:p w14:paraId="10696FDC" w14:textId="77777777" w:rsidR="003F020D" w:rsidRPr="009D3041" w:rsidRDefault="003F020D" w:rsidP="009D3041">
      <w:pPr>
        <w:pStyle w:val="Tekstpodstawowy"/>
        <w:numPr>
          <w:ilvl w:val="1"/>
          <w:numId w:val="3"/>
        </w:numPr>
        <w:tabs>
          <w:tab w:val="clear" w:pos="717"/>
        </w:tabs>
        <w:spacing w:before="60" w:beforeAutospacing="0" w:line="276" w:lineRule="auto"/>
        <w:ind w:left="284" w:right="-1"/>
        <w:jc w:val="left"/>
        <w:rPr>
          <w:rFonts w:ascii="Open Sans" w:hAnsi="Open Sans" w:cs="Open Sans"/>
          <w:b w:val="0"/>
          <w:sz w:val="22"/>
          <w:szCs w:val="22"/>
        </w:rPr>
      </w:pPr>
      <w:r w:rsidRPr="009D3041">
        <w:rPr>
          <w:rFonts w:ascii="Open Sans" w:hAnsi="Open Sans" w:cs="Open Sans"/>
          <w:b w:val="0"/>
          <w:sz w:val="22"/>
          <w:szCs w:val="22"/>
        </w:rPr>
        <w:t>Studium Wykonalności stanowi rozszerzenie i uzupełnienie informacji zawartych we wniosku o dofinansowanie przedsięwzięcia, które wypełniane są w Generatorze Wniosków o Dofinansowanie (zwanym dalej „GWD”).</w:t>
      </w:r>
    </w:p>
    <w:p w14:paraId="37F4F542" w14:textId="77777777" w:rsidR="003F020D" w:rsidRPr="009D3041" w:rsidRDefault="003F020D" w:rsidP="009D3041">
      <w:pPr>
        <w:pStyle w:val="Tekstpodstawowy"/>
        <w:numPr>
          <w:ilvl w:val="1"/>
          <w:numId w:val="3"/>
        </w:numPr>
        <w:tabs>
          <w:tab w:val="clear" w:pos="717"/>
        </w:tabs>
        <w:spacing w:before="60" w:beforeAutospacing="0" w:line="276" w:lineRule="auto"/>
        <w:ind w:left="284"/>
        <w:jc w:val="left"/>
        <w:rPr>
          <w:rFonts w:ascii="Open Sans" w:hAnsi="Open Sans" w:cs="Open Sans"/>
          <w:b w:val="0"/>
          <w:sz w:val="22"/>
          <w:szCs w:val="22"/>
        </w:rPr>
      </w:pPr>
      <w:r w:rsidRPr="009D3041">
        <w:rPr>
          <w:rFonts w:ascii="Open Sans" w:hAnsi="Open Sans" w:cs="Open Sans"/>
          <w:b w:val="0"/>
          <w:sz w:val="22"/>
          <w:szCs w:val="22"/>
        </w:rPr>
        <w:t xml:space="preserve">Studium Wykonalności składa się z dwóch części: </w:t>
      </w:r>
    </w:p>
    <w:p w14:paraId="4B71B081" w14:textId="77777777" w:rsidR="003F020D" w:rsidRPr="009D3041" w:rsidRDefault="003F020D" w:rsidP="009D3041">
      <w:pPr>
        <w:pStyle w:val="Tekstpodstawowy"/>
        <w:numPr>
          <w:ilvl w:val="0"/>
          <w:numId w:val="5"/>
        </w:numPr>
        <w:spacing w:before="60" w:beforeAutospacing="0" w:line="276" w:lineRule="auto"/>
        <w:jc w:val="left"/>
        <w:rPr>
          <w:rFonts w:ascii="Open Sans" w:hAnsi="Open Sans" w:cs="Open Sans"/>
          <w:b w:val="0"/>
          <w:sz w:val="22"/>
          <w:szCs w:val="22"/>
        </w:rPr>
      </w:pPr>
      <w:r w:rsidRPr="009D3041">
        <w:rPr>
          <w:rFonts w:ascii="Open Sans" w:hAnsi="Open Sans" w:cs="Open Sans"/>
          <w:b w:val="0"/>
          <w:sz w:val="22"/>
          <w:szCs w:val="22"/>
        </w:rPr>
        <w:t>Studium Wykonalności – część opisowa,</w:t>
      </w:r>
    </w:p>
    <w:p w14:paraId="638D224C" w14:textId="77777777" w:rsidR="003F020D" w:rsidRPr="009D3041" w:rsidRDefault="003F020D" w:rsidP="00DF2261">
      <w:pPr>
        <w:pStyle w:val="Tekstpodstawowy"/>
        <w:numPr>
          <w:ilvl w:val="0"/>
          <w:numId w:val="5"/>
        </w:numPr>
        <w:spacing w:before="60" w:beforeAutospacing="0" w:line="276" w:lineRule="auto"/>
        <w:ind w:left="714" w:hanging="357"/>
        <w:jc w:val="left"/>
        <w:rPr>
          <w:rFonts w:ascii="Open Sans" w:hAnsi="Open Sans" w:cs="Open Sans"/>
          <w:b w:val="0"/>
          <w:sz w:val="22"/>
          <w:szCs w:val="22"/>
        </w:rPr>
      </w:pPr>
      <w:r w:rsidRPr="009D3041">
        <w:rPr>
          <w:rFonts w:ascii="Open Sans" w:hAnsi="Open Sans" w:cs="Open Sans"/>
          <w:b w:val="0"/>
          <w:sz w:val="22"/>
          <w:szCs w:val="22"/>
        </w:rPr>
        <w:t xml:space="preserve">Studium Wykonalności – część obliczeniowa (model finansowy). </w:t>
      </w:r>
    </w:p>
    <w:p w14:paraId="3869AADB" w14:textId="77777777" w:rsidR="003F020D" w:rsidRPr="009D3041" w:rsidRDefault="003F020D" w:rsidP="009D3041">
      <w:pPr>
        <w:pStyle w:val="Tekstpodstawowy"/>
        <w:numPr>
          <w:ilvl w:val="1"/>
          <w:numId w:val="3"/>
        </w:numPr>
        <w:tabs>
          <w:tab w:val="clear" w:pos="717"/>
        </w:tabs>
        <w:spacing w:before="60" w:beforeAutospacing="0" w:line="276" w:lineRule="auto"/>
        <w:ind w:left="284"/>
        <w:jc w:val="left"/>
        <w:rPr>
          <w:rFonts w:ascii="Open Sans" w:hAnsi="Open Sans" w:cs="Open Sans"/>
          <w:b w:val="0"/>
          <w:sz w:val="22"/>
          <w:szCs w:val="22"/>
        </w:rPr>
      </w:pPr>
      <w:r w:rsidRPr="009D3041">
        <w:rPr>
          <w:rFonts w:ascii="Open Sans" w:hAnsi="Open Sans" w:cs="Open Sans"/>
          <w:b w:val="0"/>
          <w:sz w:val="22"/>
          <w:szCs w:val="22"/>
        </w:rPr>
        <w:t>Poszczególne części Studium Wykonalności, o których mowa powyżej w pkt. 2a i 2b, stanowią w GWD odrębne załączniki.</w:t>
      </w:r>
    </w:p>
    <w:p w14:paraId="48CC66F4" w14:textId="77777777" w:rsidR="003F020D" w:rsidRPr="009D3041" w:rsidRDefault="003F020D" w:rsidP="009D3041">
      <w:pPr>
        <w:pStyle w:val="Tekstpodstawowy"/>
        <w:numPr>
          <w:ilvl w:val="1"/>
          <w:numId w:val="3"/>
        </w:numPr>
        <w:tabs>
          <w:tab w:val="clear" w:pos="717"/>
        </w:tabs>
        <w:spacing w:before="60" w:beforeAutospacing="0" w:line="276" w:lineRule="auto"/>
        <w:ind w:left="284" w:right="-1"/>
        <w:jc w:val="left"/>
        <w:rPr>
          <w:rFonts w:ascii="Open Sans" w:hAnsi="Open Sans" w:cs="Open Sans"/>
          <w:b w:val="0"/>
          <w:sz w:val="22"/>
          <w:szCs w:val="22"/>
        </w:rPr>
      </w:pPr>
      <w:r w:rsidRPr="009D3041">
        <w:rPr>
          <w:rFonts w:ascii="Open Sans" w:hAnsi="Open Sans" w:cs="Open Sans"/>
          <w:b w:val="0"/>
          <w:sz w:val="22"/>
          <w:szCs w:val="22"/>
        </w:rPr>
        <w:t>Część obliczeniowa Studium Wykonalności, o której mowa w pkt. 2b powyżej, niezależnie od formy składania wniosku o dofinansowanie, jest przesłana do NFOŚiGW jedynie w wersji elektronicznej poprzez GWD, w formie aktywnego modelu finansowego. Szczegółowe informacje w tym zakresie zawarte są w dalszej części niniejszej instrukcji (patrz cz. III).</w:t>
      </w:r>
    </w:p>
    <w:p w14:paraId="64967ED9" w14:textId="77777777" w:rsidR="003F020D" w:rsidRPr="009D3041" w:rsidRDefault="003F020D" w:rsidP="009D3041">
      <w:pPr>
        <w:pStyle w:val="Tekstpodstawowy"/>
        <w:numPr>
          <w:ilvl w:val="0"/>
          <w:numId w:val="6"/>
        </w:numPr>
        <w:spacing w:before="480" w:beforeAutospacing="0" w:line="276" w:lineRule="auto"/>
        <w:ind w:left="284" w:hanging="284"/>
        <w:jc w:val="left"/>
        <w:rPr>
          <w:rFonts w:ascii="Open Sans" w:hAnsi="Open Sans" w:cs="Open Sans"/>
          <w:i/>
          <w:sz w:val="22"/>
          <w:szCs w:val="22"/>
        </w:rPr>
      </w:pPr>
      <w:r w:rsidRPr="009D3041">
        <w:rPr>
          <w:rFonts w:ascii="Open Sans" w:hAnsi="Open Sans" w:cs="Open Sans"/>
          <w:i/>
          <w:sz w:val="22"/>
          <w:szCs w:val="22"/>
        </w:rPr>
        <w:t>Studium Wykonalności – część opisowa</w:t>
      </w:r>
    </w:p>
    <w:p w14:paraId="7C8D2D5C" w14:textId="77777777" w:rsidR="003F020D" w:rsidRPr="009D3041" w:rsidRDefault="003F020D" w:rsidP="009D3041">
      <w:pPr>
        <w:pStyle w:val="Tekstpodstawowy"/>
        <w:numPr>
          <w:ilvl w:val="1"/>
          <w:numId w:val="3"/>
        </w:numPr>
        <w:tabs>
          <w:tab w:val="clear" w:pos="717"/>
        </w:tabs>
        <w:spacing w:before="60" w:beforeAutospacing="0" w:line="276" w:lineRule="auto"/>
        <w:ind w:left="284" w:right="-1"/>
        <w:jc w:val="left"/>
        <w:rPr>
          <w:rFonts w:ascii="Open Sans" w:hAnsi="Open Sans" w:cs="Open Sans"/>
          <w:b w:val="0"/>
          <w:sz w:val="22"/>
          <w:szCs w:val="22"/>
        </w:rPr>
      </w:pPr>
      <w:r w:rsidRPr="009D3041">
        <w:rPr>
          <w:rFonts w:ascii="Open Sans" w:hAnsi="Open Sans" w:cs="Open Sans"/>
          <w:b w:val="0"/>
          <w:sz w:val="22"/>
          <w:szCs w:val="22"/>
        </w:rPr>
        <w:t xml:space="preserve">Część opisowa Studium Wykonalności sporządzana jest w postaci odrębnego dokumentu. </w:t>
      </w:r>
    </w:p>
    <w:p w14:paraId="4F121D27" w14:textId="77777777" w:rsidR="003F020D" w:rsidRPr="009D3041" w:rsidRDefault="003F020D" w:rsidP="009D3041">
      <w:pPr>
        <w:pStyle w:val="Tekstpodstawowy"/>
        <w:numPr>
          <w:ilvl w:val="1"/>
          <w:numId w:val="3"/>
        </w:numPr>
        <w:tabs>
          <w:tab w:val="clear" w:pos="717"/>
        </w:tabs>
        <w:spacing w:before="60" w:beforeAutospacing="0" w:line="276" w:lineRule="auto"/>
        <w:ind w:left="284" w:right="-1"/>
        <w:jc w:val="left"/>
        <w:rPr>
          <w:rFonts w:ascii="Open Sans" w:hAnsi="Open Sans" w:cs="Open Sans"/>
          <w:b w:val="0"/>
          <w:sz w:val="22"/>
          <w:szCs w:val="22"/>
        </w:rPr>
      </w:pPr>
      <w:r w:rsidRPr="009D3041">
        <w:rPr>
          <w:rFonts w:ascii="Open Sans" w:hAnsi="Open Sans" w:cs="Open Sans"/>
          <w:b w:val="0"/>
          <w:sz w:val="22"/>
          <w:szCs w:val="22"/>
        </w:rPr>
        <w:t>Zakres części opisowej:</w:t>
      </w:r>
    </w:p>
    <w:tbl>
      <w:tblPr>
        <w:tblW w:w="0" w:type="auto"/>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Caption w:val="Zakres części opisowej"/>
        <w:tblDescription w:val="Zakres części opisowej"/>
      </w:tblPr>
      <w:tblGrid>
        <w:gridCol w:w="9095"/>
      </w:tblGrid>
      <w:tr w:rsidR="003F020D" w:rsidRPr="009D3041" w14:paraId="51F36A39" w14:textId="77777777" w:rsidTr="00F6780C">
        <w:tc>
          <w:tcPr>
            <w:tcW w:w="9095" w:type="dxa"/>
          </w:tcPr>
          <w:p w14:paraId="04F54F64" w14:textId="77777777" w:rsidR="003F020D" w:rsidRPr="009D3041" w:rsidRDefault="003F020D" w:rsidP="009D3041">
            <w:pPr>
              <w:numPr>
                <w:ilvl w:val="0"/>
                <w:numId w:val="4"/>
              </w:numPr>
              <w:spacing w:beforeAutospacing="1" w:after="0" w:line="276" w:lineRule="auto"/>
              <w:rPr>
                <w:rFonts w:ascii="Open Sans" w:hAnsi="Open Sans" w:cs="Open Sans"/>
              </w:rPr>
            </w:pPr>
            <w:r w:rsidRPr="009D3041">
              <w:rPr>
                <w:rFonts w:ascii="Open Sans" w:hAnsi="Open Sans" w:cs="Open Sans"/>
              </w:rPr>
              <w:t xml:space="preserve">Informacje o Wnioskodawcy: </w:t>
            </w:r>
          </w:p>
        </w:tc>
      </w:tr>
      <w:tr w:rsidR="003F020D" w:rsidRPr="009D3041" w14:paraId="40CC29CB" w14:textId="77777777" w:rsidTr="00F6780C">
        <w:tc>
          <w:tcPr>
            <w:tcW w:w="9095" w:type="dxa"/>
          </w:tcPr>
          <w:p w14:paraId="023EDDB5" w14:textId="77777777" w:rsidR="003F020D" w:rsidRPr="009D3041" w:rsidRDefault="003F020D" w:rsidP="009D3041">
            <w:pPr>
              <w:numPr>
                <w:ilvl w:val="1"/>
                <w:numId w:val="4"/>
              </w:numPr>
              <w:spacing w:beforeAutospacing="1" w:after="0" w:line="276" w:lineRule="auto"/>
              <w:rPr>
                <w:rFonts w:ascii="Open Sans" w:hAnsi="Open Sans" w:cs="Open Sans"/>
              </w:rPr>
            </w:pPr>
            <w:r w:rsidRPr="009D3041">
              <w:rPr>
                <w:rFonts w:ascii="Open Sans" w:hAnsi="Open Sans" w:cs="Open Sans"/>
              </w:rPr>
              <w:t xml:space="preserve">Forma prawna i struktura własnościowa. </w:t>
            </w:r>
          </w:p>
        </w:tc>
      </w:tr>
      <w:tr w:rsidR="003F020D" w:rsidRPr="009D3041" w14:paraId="15BC3B6A" w14:textId="77777777" w:rsidTr="00F6780C">
        <w:tc>
          <w:tcPr>
            <w:tcW w:w="9095" w:type="dxa"/>
          </w:tcPr>
          <w:p w14:paraId="736C1DB2" w14:textId="77777777" w:rsidR="003F020D" w:rsidRPr="009D3041" w:rsidRDefault="003F020D" w:rsidP="009D3041">
            <w:pPr>
              <w:numPr>
                <w:ilvl w:val="1"/>
                <w:numId w:val="4"/>
              </w:numPr>
              <w:spacing w:beforeAutospacing="1" w:after="0" w:line="276" w:lineRule="auto"/>
              <w:rPr>
                <w:rFonts w:ascii="Open Sans" w:hAnsi="Open Sans" w:cs="Open Sans"/>
              </w:rPr>
            </w:pPr>
            <w:r w:rsidRPr="009D3041">
              <w:rPr>
                <w:rFonts w:ascii="Open Sans" w:hAnsi="Open Sans" w:cs="Open Sans"/>
              </w:rPr>
              <w:t xml:space="preserve">Przedmiot działalności. </w:t>
            </w:r>
          </w:p>
        </w:tc>
      </w:tr>
      <w:tr w:rsidR="003F020D" w:rsidRPr="009D3041" w14:paraId="415F39F5" w14:textId="77777777" w:rsidTr="00F6780C">
        <w:tc>
          <w:tcPr>
            <w:tcW w:w="9095" w:type="dxa"/>
          </w:tcPr>
          <w:p w14:paraId="71400DD3" w14:textId="77777777" w:rsidR="003F020D" w:rsidRPr="009D3041" w:rsidRDefault="003F020D" w:rsidP="009D3041">
            <w:pPr>
              <w:numPr>
                <w:ilvl w:val="1"/>
                <w:numId w:val="4"/>
              </w:numPr>
              <w:spacing w:beforeAutospacing="1" w:after="0" w:line="276" w:lineRule="auto"/>
              <w:rPr>
                <w:rFonts w:ascii="Open Sans" w:hAnsi="Open Sans" w:cs="Open Sans"/>
              </w:rPr>
            </w:pPr>
            <w:r w:rsidRPr="009D3041">
              <w:rPr>
                <w:rFonts w:ascii="Open Sans" w:hAnsi="Open Sans" w:cs="Open Sans"/>
              </w:rPr>
              <w:t xml:space="preserve">Kwalifikacje i doświadczenie kadry zarządzającej odpowiedzialnej za realizację przedsięwzięcia. </w:t>
            </w:r>
          </w:p>
        </w:tc>
      </w:tr>
      <w:tr w:rsidR="003F020D" w:rsidRPr="009D3041" w14:paraId="01332C74" w14:textId="77777777" w:rsidTr="00F6780C">
        <w:tc>
          <w:tcPr>
            <w:tcW w:w="9095" w:type="dxa"/>
          </w:tcPr>
          <w:p w14:paraId="7D3F51D4" w14:textId="77777777" w:rsidR="003F020D" w:rsidRPr="009D3041" w:rsidRDefault="003F020D" w:rsidP="009D3041">
            <w:pPr>
              <w:numPr>
                <w:ilvl w:val="1"/>
                <w:numId w:val="4"/>
              </w:numPr>
              <w:spacing w:beforeAutospacing="1" w:after="0" w:line="276" w:lineRule="auto"/>
              <w:rPr>
                <w:rFonts w:ascii="Open Sans" w:hAnsi="Open Sans" w:cs="Open Sans"/>
              </w:rPr>
            </w:pPr>
            <w:r w:rsidRPr="009D3041">
              <w:rPr>
                <w:rFonts w:ascii="Open Sans" w:hAnsi="Open Sans" w:cs="Open Sans"/>
              </w:rPr>
              <w:t xml:space="preserve">Doświadczenie Wnioskodawcy w realizacji innych przedsięwzięć. </w:t>
            </w:r>
          </w:p>
        </w:tc>
      </w:tr>
      <w:tr w:rsidR="003F020D" w:rsidRPr="009D3041" w14:paraId="77BA3900" w14:textId="77777777" w:rsidTr="00F6780C">
        <w:tc>
          <w:tcPr>
            <w:tcW w:w="9095" w:type="dxa"/>
          </w:tcPr>
          <w:p w14:paraId="233D0A20" w14:textId="77777777" w:rsidR="003F020D" w:rsidRPr="009D3041" w:rsidRDefault="003F020D" w:rsidP="009D3041">
            <w:pPr>
              <w:numPr>
                <w:ilvl w:val="0"/>
                <w:numId w:val="4"/>
              </w:numPr>
              <w:spacing w:beforeAutospacing="1" w:after="0" w:line="276" w:lineRule="auto"/>
              <w:rPr>
                <w:rFonts w:ascii="Open Sans" w:hAnsi="Open Sans" w:cs="Open Sans"/>
              </w:rPr>
            </w:pPr>
            <w:r w:rsidRPr="009D3041">
              <w:rPr>
                <w:rFonts w:ascii="Open Sans" w:hAnsi="Open Sans" w:cs="Open Sans"/>
              </w:rPr>
              <w:t>Opis przedsięwzięcia:</w:t>
            </w:r>
          </w:p>
        </w:tc>
      </w:tr>
      <w:tr w:rsidR="003F020D" w:rsidRPr="009D3041" w14:paraId="6145EBAB" w14:textId="77777777" w:rsidTr="00F6780C">
        <w:tc>
          <w:tcPr>
            <w:tcW w:w="9095" w:type="dxa"/>
          </w:tcPr>
          <w:p w14:paraId="26E1D743" w14:textId="77777777" w:rsidR="003F020D" w:rsidRPr="009D3041" w:rsidRDefault="003F020D" w:rsidP="009D3041">
            <w:pPr>
              <w:numPr>
                <w:ilvl w:val="1"/>
                <w:numId w:val="4"/>
              </w:numPr>
              <w:spacing w:beforeAutospacing="1" w:after="0" w:line="276" w:lineRule="auto"/>
              <w:rPr>
                <w:rFonts w:ascii="Open Sans" w:hAnsi="Open Sans" w:cs="Open Sans"/>
              </w:rPr>
            </w:pPr>
            <w:r w:rsidRPr="009D3041">
              <w:rPr>
                <w:rFonts w:ascii="Open Sans" w:hAnsi="Open Sans" w:cs="Open Sans"/>
              </w:rPr>
              <w:t>Cel, opis i zakres rzeczowy przedsięwzięcia.</w:t>
            </w:r>
          </w:p>
          <w:p w14:paraId="3E29B65D" w14:textId="3D5B88F5" w:rsidR="00B13EF9" w:rsidRPr="009D3041" w:rsidRDefault="00B13EF9" w:rsidP="009D3041">
            <w:pPr>
              <w:numPr>
                <w:ilvl w:val="1"/>
                <w:numId w:val="4"/>
              </w:numPr>
              <w:spacing w:beforeAutospacing="1" w:after="0" w:line="276" w:lineRule="auto"/>
              <w:rPr>
                <w:rFonts w:ascii="Open Sans" w:hAnsi="Open Sans" w:cs="Open Sans"/>
              </w:rPr>
            </w:pPr>
            <w:r w:rsidRPr="009D3041">
              <w:rPr>
                <w:rFonts w:ascii="Open Sans" w:hAnsi="Open Sans" w:cs="Open Sans"/>
              </w:rPr>
              <w:t xml:space="preserve">Mapa przedstawiająca lokalizację zadania (obszar projektu) i najważniejsze jego elementy, w tym usytuowanie obiektów infrastruktury terenowej / </w:t>
            </w:r>
            <w:r w:rsidRPr="009D3041">
              <w:rPr>
                <w:rFonts w:ascii="Open Sans" w:hAnsi="Open Sans" w:cs="Open Sans"/>
              </w:rPr>
              <w:lastRenderedPageBreak/>
              <w:t xml:space="preserve">zagospodarowanie terenu w skali umożliwiającej czytelność wraz </w:t>
            </w:r>
            <w:r w:rsidRPr="009D3041">
              <w:rPr>
                <w:rFonts w:ascii="Open Sans" w:hAnsi="Open Sans" w:cs="Open Sans"/>
              </w:rPr>
              <w:br/>
              <w:t>z opisem/legendą.</w:t>
            </w:r>
          </w:p>
        </w:tc>
      </w:tr>
      <w:tr w:rsidR="003F020D" w:rsidRPr="009D3041" w14:paraId="04F2DF99" w14:textId="77777777" w:rsidTr="00F6780C">
        <w:tc>
          <w:tcPr>
            <w:tcW w:w="9095" w:type="dxa"/>
          </w:tcPr>
          <w:p w14:paraId="526EEFD0" w14:textId="77777777" w:rsidR="003F020D" w:rsidRPr="009D3041" w:rsidRDefault="003F020D" w:rsidP="009D3041">
            <w:pPr>
              <w:numPr>
                <w:ilvl w:val="1"/>
                <w:numId w:val="4"/>
              </w:numPr>
              <w:spacing w:beforeAutospacing="1" w:after="0" w:line="276" w:lineRule="auto"/>
              <w:rPr>
                <w:rFonts w:ascii="Open Sans" w:hAnsi="Open Sans" w:cs="Open Sans"/>
              </w:rPr>
            </w:pPr>
            <w:r w:rsidRPr="009D3041">
              <w:rPr>
                <w:rFonts w:ascii="Open Sans" w:hAnsi="Open Sans" w:cs="Open Sans"/>
              </w:rPr>
              <w:lastRenderedPageBreak/>
              <w:t>Analiza techniczna i technologiczna.</w:t>
            </w:r>
          </w:p>
        </w:tc>
      </w:tr>
      <w:tr w:rsidR="003F020D" w:rsidRPr="009D3041" w14:paraId="5485363F" w14:textId="77777777" w:rsidTr="00F6780C">
        <w:tc>
          <w:tcPr>
            <w:tcW w:w="9095" w:type="dxa"/>
          </w:tcPr>
          <w:p w14:paraId="7478ACAC" w14:textId="77777777" w:rsidR="003F020D" w:rsidRPr="009D3041" w:rsidRDefault="003F020D" w:rsidP="009D3041">
            <w:pPr>
              <w:numPr>
                <w:ilvl w:val="0"/>
                <w:numId w:val="4"/>
              </w:numPr>
              <w:spacing w:beforeAutospacing="1" w:after="0" w:line="276" w:lineRule="auto"/>
              <w:rPr>
                <w:rFonts w:ascii="Open Sans" w:hAnsi="Open Sans" w:cs="Open Sans"/>
              </w:rPr>
            </w:pPr>
            <w:r w:rsidRPr="009D3041">
              <w:rPr>
                <w:rFonts w:ascii="Open Sans" w:hAnsi="Open Sans" w:cs="Open Sans"/>
              </w:rPr>
              <w:t>Analiza alternatywnych rozwiązań:</w:t>
            </w:r>
          </w:p>
        </w:tc>
      </w:tr>
      <w:tr w:rsidR="003F020D" w:rsidRPr="009D3041" w14:paraId="445C0F15" w14:textId="77777777" w:rsidTr="00F6780C">
        <w:tc>
          <w:tcPr>
            <w:tcW w:w="9095" w:type="dxa"/>
          </w:tcPr>
          <w:p w14:paraId="157F0128" w14:textId="77777777" w:rsidR="003F020D" w:rsidRPr="009D3041" w:rsidRDefault="003F020D" w:rsidP="009D3041">
            <w:pPr>
              <w:spacing w:line="276" w:lineRule="auto"/>
              <w:ind w:left="792"/>
              <w:rPr>
                <w:rFonts w:ascii="Open Sans" w:hAnsi="Open Sans" w:cs="Open Sans"/>
              </w:rPr>
            </w:pPr>
            <w:r w:rsidRPr="009D3041">
              <w:rPr>
                <w:rFonts w:ascii="Open Sans" w:hAnsi="Open Sans" w:cs="Open Sans"/>
              </w:rPr>
              <w:t>Charakterystyka alternatywnych rozwiązań lokalizacyjnych i technologiczno-organizacyjnych. Uzasadnić wybór najbardziej opłacalnego rozwiązania technicznego i zakresu przedsięwzięcia, który pozwala na uzyskanie efektu ekologicznego. Spośród rozwiązań technicznych (technologia, rozmieszczenia przestrzenne, itp.) umożliwiających osiągnięcie celów założonych przy formułowaniu zakresu niezbędnych inwestycji należy w drodze analizy opcji (wraz z analizą tzw. „wariantu zerowego” tj. zaniechanie realizacji przedsięwzięcia), z wykorzystaniem metod ekonomicznych m.in. analiz efektywności kosztowej, wskazać rozwiązania najefektywniejsze ekonomicznie.</w:t>
            </w:r>
          </w:p>
        </w:tc>
      </w:tr>
      <w:tr w:rsidR="003F020D" w:rsidRPr="009D3041" w14:paraId="23F53956" w14:textId="77777777" w:rsidTr="00F6780C">
        <w:tc>
          <w:tcPr>
            <w:tcW w:w="9095" w:type="dxa"/>
          </w:tcPr>
          <w:p w14:paraId="1ABB7146" w14:textId="77777777" w:rsidR="003F020D" w:rsidRPr="009D3041" w:rsidRDefault="003F020D" w:rsidP="009D3041">
            <w:pPr>
              <w:numPr>
                <w:ilvl w:val="0"/>
                <w:numId w:val="4"/>
              </w:numPr>
              <w:spacing w:beforeAutospacing="1" w:after="0" w:line="276" w:lineRule="auto"/>
              <w:rPr>
                <w:rFonts w:ascii="Open Sans" w:hAnsi="Open Sans" w:cs="Open Sans"/>
              </w:rPr>
            </w:pPr>
            <w:r w:rsidRPr="009D3041">
              <w:rPr>
                <w:rFonts w:ascii="Open Sans" w:hAnsi="Open Sans" w:cs="Open Sans"/>
              </w:rPr>
              <w:t xml:space="preserve">Plan wdrożenia przedsięwzięcia: </w:t>
            </w:r>
          </w:p>
        </w:tc>
      </w:tr>
      <w:tr w:rsidR="003F020D" w:rsidRPr="009D3041" w14:paraId="116734B4" w14:textId="77777777" w:rsidTr="00F6780C">
        <w:tc>
          <w:tcPr>
            <w:tcW w:w="9095" w:type="dxa"/>
          </w:tcPr>
          <w:p w14:paraId="11A566D8" w14:textId="77777777" w:rsidR="003F020D" w:rsidRPr="009D3041" w:rsidRDefault="003F020D" w:rsidP="009D3041">
            <w:pPr>
              <w:numPr>
                <w:ilvl w:val="1"/>
                <w:numId w:val="4"/>
              </w:numPr>
              <w:spacing w:beforeAutospacing="1" w:after="0" w:line="276" w:lineRule="auto"/>
              <w:rPr>
                <w:rFonts w:ascii="Open Sans" w:hAnsi="Open Sans" w:cs="Open Sans"/>
              </w:rPr>
            </w:pPr>
            <w:r w:rsidRPr="009D3041">
              <w:rPr>
                <w:rFonts w:ascii="Open Sans" w:hAnsi="Open Sans" w:cs="Open Sans"/>
              </w:rPr>
              <w:t xml:space="preserve">Struktura organizacyjna jednostki odpowiedzialnej za wdrażanie przedsięwzięcia. </w:t>
            </w:r>
          </w:p>
        </w:tc>
      </w:tr>
      <w:tr w:rsidR="003F020D" w:rsidRPr="009D3041" w14:paraId="0420DF99" w14:textId="77777777" w:rsidTr="00F6780C">
        <w:tc>
          <w:tcPr>
            <w:tcW w:w="9095" w:type="dxa"/>
          </w:tcPr>
          <w:p w14:paraId="3F5D94C3" w14:textId="77777777" w:rsidR="003F020D" w:rsidRPr="009D3041" w:rsidRDefault="003F020D" w:rsidP="009D3041">
            <w:pPr>
              <w:numPr>
                <w:ilvl w:val="1"/>
                <w:numId w:val="4"/>
              </w:numPr>
              <w:spacing w:beforeAutospacing="1" w:after="0" w:line="276" w:lineRule="auto"/>
              <w:rPr>
                <w:rFonts w:ascii="Open Sans" w:hAnsi="Open Sans" w:cs="Open Sans"/>
              </w:rPr>
            </w:pPr>
            <w:r w:rsidRPr="009D3041">
              <w:rPr>
                <w:rFonts w:ascii="Open Sans" w:hAnsi="Open Sans" w:cs="Open Sans"/>
              </w:rPr>
              <w:t xml:space="preserve">Niezbędne działania przygotowawcze do realizacji przedsięwzięcia wynikające z uzyskanych decyzji/pozwoleń, w tym stan obecny. </w:t>
            </w:r>
          </w:p>
        </w:tc>
      </w:tr>
      <w:tr w:rsidR="003F020D" w:rsidRPr="009D3041" w14:paraId="26A8CA7B" w14:textId="77777777" w:rsidTr="00F6780C">
        <w:tc>
          <w:tcPr>
            <w:tcW w:w="9095" w:type="dxa"/>
          </w:tcPr>
          <w:p w14:paraId="7C2EB37D" w14:textId="2D68594C" w:rsidR="003F020D" w:rsidRPr="009D3041" w:rsidRDefault="003F020D" w:rsidP="009D3041">
            <w:pPr>
              <w:numPr>
                <w:ilvl w:val="1"/>
                <w:numId w:val="4"/>
              </w:numPr>
              <w:spacing w:beforeAutospacing="1" w:after="0" w:line="276" w:lineRule="auto"/>
              <w:rPr>
                <w:rFonts w:ascii="Open Sans" w:hAnsi="Open Sans" w:cs="Open Sans"/>
              </w:rPr>
            </w:pPr>
            <w:r w:rsidRPr="009D3041">
              <w:rPr>
                <w:rFonts w:ascii="Open Sans" w:hAnsi="Open Sans" w:cs="Open Sans"/>
              </w:rPr>
              <w:t>Harmonogram rzeczowo-finansowy przedsięwzięcia</w:t>
            </w:r>
            <w:r w:rsidR="00B13EF9" w:rsidRPr="009D3041">
              <w:rPr>
                <w:rFonts w:ascii="Open Sans" w:hAnsi="Open Sans" w:cs="Open Sans"/>
              </w:rPr>
              <w:t xml:space="preserve"> (harmonogram realizacji projektu)</w:t>
            </w:r>
            <w:r w:rsidRPr="009D3041">
              <w:rPr>
                <w:rFonts w:ascii="Open Sans" w:hAnsi="Open Sans" w:cs="Open Sans"/>
              </w:rPr>
              <w:t>.</w:t>
            </w:r>
          </w:p>
        </w:tc>
      </w:tr>
      <w:tr w:rsidR="003F020D" w:rsidRPr="009D3041" w14:paraId="4707B1AA" w14:textId="77777777" w:rsidTr="00F6780C">
        <w:tc>
          <w:tcPr>
            <w:tcW w:w="9095" w:type="dxa"/>
          </w:tcPr>
          <w:p w14:paraId="346CA521" w14:textId="77777777" w:rsidR="003F020D" w:rsidRPr="009D3041" w:rsidRDefault="003F020D" w:rsidP="009D3041">
            <w:pPr>
              <w:numPr>
                <w:ilvl w:val="0"/>
                <w:numId w:val="4"/>
              </w:numPr>
              <w:spacing w:beforeAutospacing="1" w:after="0" w:line="276" w:lineRule="auto"/>
              <w:rPr>
                <w:rFonts w:ascii="Open Sans" w:hAnsi="Open Sans" w:cs="Open Sans"/>
              </w:rPr>
            </w:pPr>
            <w:r w:rsidRPr="009D3041">
              <w:rPr>
                <w:rFonts w:ascii="Open Sans" w:hAnsi="Open Sans" w:cs="Open Sans"/>
              </w:rPr>
              <w:t>Finansowanie przedsięwzięcia:</w:t>
            </w:r>
          </w:p>
        </w:tc>
      </w:tr>
      <w:tr w:rsidR="003F020D" w:rsidRPr="009D3041" w14:paraId="2880B19F" w14:textId="77777777" w:rsidTr="00F6780C">
        <w:tc>
          <w:tcPr>
            <w:tcW w:w="9095" w:type="dxa"/>
          </w:tcPr>
          <w:p w14:paraId="0D3795F6" w14:textId="77777777" w:rsidR="003F020D" w:rsidRPr="009D3041" w:rsidRDefault="003F020D" w:rsidP="009D3041">
            <w:pPr>
              <w:numPr>
                <w:ilvl w:val="1"/>
                <w:numId w:val="4"/>
              </w:numPr>
              <w:spacing w:beforeAutospacing="1" w:after="0" w:line="276" w:lineRule="auto"/>
              <w:rPr>
                <w:rFonts w:ascii="Open Sans" w:hAnsi="Open Sans" w:cs="Open Sans"/>
              </w:rPr>
            </w:pPr>
            <w:r w:rsidRPr="009D3041">
              <w:rPr>
                <w:rFonts w:ascii="Open Sans" w:hAnsi="Open Sans" w:cs="Open Sans"/>
              </w:rPr>
              <w:t>Analiza zdolności Wnioskodawcy do obsługi planowanego zadłużenia związanego z realizacją przedsięwzięcia.</w:t>
            </w:r>
          </w:p>
        </w:tc>
      </w:tr>
      <w:tr w:rsidR="003F020D" w:rsidRPr="009D3041" w14:paraId="438169CC" w14:textId="77777777" w:rsidTr="00F6780C">
        <w:tc>
          <w:tcPr>
            <w:tcW w:w="9095" w:type="dxa"/>
          </w:tcPr>
          <w:p w14:paraId="6C2ADD87" w14:textId="77777777" w:rsidR="003F020D" w:rsidRPr="009D3041" w:rsidRDefault="003F020D" w:rsidP="009D3041">
            <w:pPr>
              <w:numPr>
                <w:ilvl w:val="1"/>
                <w:numId w:val="4"/>
              </w:numPr>
              <w:spacing w:beforeAutospacing="1" w:after="0" w:line="276" w:lineRule="auto"/>
              <w:rPr>
                <w:rFonts w:ascii="Open Sans" w:hAnsi="Open Sans" w:cs="Open Sans"/>
              </w:rPr>
            </w:pPr>
            <w:r w:rsidRPr="009D3041">
              <w:rPr>
                <w:rFonts w:ascii="Open Sans" w:hAnsi="Open Sans" w:cs="Open Sans"/>
              </w:rPr>
              <w:t>Planowane koszty całkowite i kwalifikowane przedsięwzięcia.</w:t>
            </w:r>
          </w:p>
        </w:tc>
      </w:tr>
      <w:tr w:rsidR="003F020D" w:rsidRPr="009D3041" w14:paraId="4C16A1AD" w14:textId="77777777" w:rsidTr="00F6780C">
        <w:tc>
          <w:tcPr>
            <w:tcW w:w="9095" w:type="dxa"/>
          </w:tcPr>
          <w:p w14:paraId="56C4845C" w14:textId="77777777" w:rsidR="003F020D" w:rsidRPr="009D3041" w:rsidRDefault="003F020D" w:rsidP="009D3041">
            <w:pPr>
              <w:numPr>
                <w:ilvl w:val="1"/>
                <w:numId w:val="4"/>
              </w:numPr>
              <w:spacing w:beforeAutospacing="1" w:after="0" w:line="276" w:lineRule="auto"/>
              <w:rPr>
                <w:rFonts w:ascii="Open Sans" w:hAnsi="Open Sans" w:cs="Open Sans"/>
              </w:rPr>
            </w:pPr>
            <w:r w:rsidRPr="009D3041">
              <w:rPr>
                <w:rFonts w:ascii="Open Sans" w:hAnsi="Open Sans" w:cs="Open Sans"/>
              </w:rPr>
              <w:t>Planowane źródła finansowania kosztów całkowitych i kwalifikowanych przedsięwzięcia – zgodnie z zakładką „Źródła finansowania” z Wniosku wypełnianego w GWD.</w:t>
            </w:r>
          </w:p>
        </w:tc>
      </w:tr>
      <w:tr w:rsidR="003F020D" w:rsidRPr="009D3041" w14:paraId="13FBABE7" w14:textId="77777777" w:rsidTr="00F6780C">
        <w:tc>
          <w:tcPr>
            <w:tcW w:w="9095" w:type="dxa"/>
          </w:tcPr>
          <w:p w14:paraId="1B45450A" w14:textId="77777777" w:rsidR="003F020D" w:rsidRPr="009D3041" w:rsidRDefault="003F020D" w:rsidP="009D3041">
            <w:pPr>
              <w:spacing w:line="276" w:lineRule="auto"/>
              <w:ind w:left="776"/>
              <w:rPr>
                <w:rFonts w:ascii="Open Sans" w:hAnsi="Open Sans" w:cs="Open Sans"/>
              </w:rPr>
            </w:pPr>
            <w:r w:rsidRPr="009D3041">
              <w:rPr>
                <w:rFonts w:ascii="Open Sans" w:hAnsi="Open Sans" w:cs="Open Sans"/>
              </w:rPr>
              <w:t>Wnioskodawca powinien przedstawić planowane źródła finansowania kosztów całkowitych przedsięwzięcia (z uwzględnieniem podatku VAT) w podziale na środki własne, środki NFOŚiGW oraz zewnętrzne źródła finansowania, przy czym każde źródło powinno być szczegółowo opisane z podaniem warunków na jakich finansowanie ma być pozyskane (okres finansowania, oprocentowanie, zabezpieczenia, itp.).</w:t>
            </w:r>
          </w:p>
          <w:p w14:paraId="4B764648" w14:textId="77777777" w:rsidR="003F020D" w:rsidRPr="009D3041" w:rsidRDefault="003F020D" w:rsidP="009D3041">
            <w:pPr>
              <w:spacing w:line="276" w:lineRule="auto"/>
              <w:ind w:left="776"/>
              <w:rPr>
                <w:rFonts w:ascii="Open Sans" w:hAnsi="Open Sans" w:cs="Open Sans"/>
              </w:rPr>
            </w:pPr>
            <w:r w:rsidRPr="009D3041">
              <w:rPr>
                <w:rFonts w:ascii="Open Sans" w:hAnsi="Open Sans" w:cs="Open Sans"/>
              </w:rPr>
              <w:lastRenderedPageBreak/>
              <w:t xml:space="preserve">W przypadku środków własnych należy wskazać źródła pochodzenia środków (np. bieżąca działalności gospodarczej podmiotu; posiadane lokaty terminowe/rachunki inwestycyjne). </w:t>
            </w:r>
          </w:p>
          <w:p w14:paraId="13731419" w14:textId="77777777" w:rsidR="003F020D" w:rsidRPr="009D3041" w:rsidRDefault="003F020D" w:rsidP="009D3041">
            <w:pPr>
              <w:spacing w:line="276" w:lineRule="auto"/>
              <w:ind w:left="776"/>
              <w:rPr>
                <w:rFonts w:ascii="Open Sans" w:hAnsi="Open Sans" w:cs="Open Sans"/>
              </w:rPr>
            </w:pPr>
            <w:r w:rsidRPr="009D3041">
              <w:rPr>
                <w:rFonts w:ascii="Open Sans" w:hAnsi="Open Sans" w:cs="Open Sans"/>
              </w:rPr>
              <w:t>W przypadku planowanego dokapitalizowania podmiotu należy wskazać kwotę, termin, kto ma objąć udziały/akcje oraz udokumentować, że określony inwestor dysponuje środkami na dokonanie dokapitalizowania.</w:t>
            </w:r>
          </w:p>
          <w:p w14:paraId="40D6B1B0" w14:textId="77777777" w:rsidR="003F020D" w:rsidRPr="009D3041" w:rsidRDefault="003F020D" w:rsidP="009D3041">
            <w:pPr>
              <w:spacing w:line="276" w:lineRule="auto"/>
              <w:ind w:left="776"/>
              <w:rPr>
                <w:rFonts w:ascii="Open Sans" w:hAnsi="Open Sans" w:cs="Open Sans"/>
              </w:rPr>
            </w:pPr>
            <w:r w:rsidRPr="009D3041">
              <w:rPr>
                <w:rFonts w:ascii="Open Sans" w:hAnsi="Open Sans" w:cs="Open Sans"/>
              </w:rPr>
              <w:t>Przy projektowaniu warunków dofinansowania ze środków NFOŚiGW Wnioskodawca powinien uwzględnić planowaną rentowność i płynność finansową przedsięwzięcia, bazując na generowanych przychodach przedsięwzięcia, bądź oszczędnościach w kosztach eksploatacyjnych, ich wysokości w stosunku do kosztu przedsięwzięcia, rocznych kosztów eksploatacji, rocznych kosztów obsługi zadłużenia zaciągniętego na realizację przedsięwzięcia). Oczekuje się, że:</w:t>
            </w:r>
          </w:p>
          <w:p w14:paraId="076B8608" w14:textId="77777777" w:rsidR="003F020D" w:rsidRPr="009D3041" w:rsidRDefault="003F020D" w:rsidP="009D3041">
            <w:pPr>
              <w:pStyle w:val="Akapitzlist"/>
              <w:numPr>
                <w:ilvl w:val="0"/>
                <w:numId w:val="14"/>
              </w:numPr>
              <w:spacing w:after="0" w:line="276" w:lineRule="auto"/>
              <w:ind w:left="1059" w:hanging="141"/>
              <w:rPr>
                <w:rFonts w:ascii="Open Sans" w:hAnsi="Open Sans" w:cs="Open Sans"/>
              </w:rPr>
            </w:pPr>
            <w:r w:rsidRPr="009D3041">
              <w:rPr>
                <w:rFonts w:ascii="Open Sans" w:hAnsi="Open Sans" w:cs="Open Sans"/>
              </w:rPr>
              <w:t>przygotowywane przez Wnioskodawcę prognozy finansowe będą opracowane w sposób racjonalny i uzasadniony, na podstawie realnych, opisanych we wniosku/studium wykonalności założeń,</w:t>
            </w:r>
          </w:p>
          <w:p w14:paraId="43019342" w14:textId="77777777" w:rsidR="003F020D" w:rsidRPr="009D3041" w:rsidRDefault="003F020D" w:rsidP="009D3041">
            <w:pPr>
              <w:pStyle w:val="Akapitzlist"/>
              <w:numPr>
                <w:ilvl w:val="0"/>
                <w:numId w:val="14"/>
              </w:numPr>
              <w:spacing w:after="0" w:line="276" w:lineRule="auto"/>
              <w:ind w:left="1059" w:hanging="141"/>
              <w:rPr>
                <w:rFonts w:ascii="Open Sans" w:hAnsi="Open Sans" w:cs="Open Sans"/>
              </w:rPr>
            </w:pPr>
            <w:r w:rsidRPr="009D3041">
              <w:rPr>
                <w:rFonts w:ascii="Open Sans" w:hAnsi="Open Sans" w:cs="Open Sans"/>
              </w:rPr>
              <w:t>okres karencji w spłacie kapitału pożyczki będzie niezbędny, powiązany z osiąganiem efektów finansowych uzyskiwanych z realizowanego przedsięwzięcia (np. rozpoczęcie spłaty rat kapitałowych po osiągnięciu zdolności produkcyjnych), z zastrzeżeniem, że nie może on przekraczać maksymalnego okresu ustalonego w programie priorytetowym. Należy przy tym pamiętać, że nie ma karencji w spłacie odsetek,</w:t>
            </w:r>
          </w:p>
          <w:p w14:paraId="2E7B2737" w14:textId="77777777" w:rsidR="003F020D" w:rsidRPr="009D3041" w:rsidRDefault="003F020D" w:rsidP="009D3041">
            <w:pPr>
              <w:pStyle w:val="Akapitzlist"/>
              <w:numPr>
                <w:ilvl w:val="0"/>
                <w:numId w:val="14"/>
              </w:numPr>
              <w:spacing w:after="0" w:line="276" w:lineRule="auto"/>
              <w:ind w:left="1059" w:hanging="141"/>
              <w:rPr>
                <w:rFonts w:ascii="Open Sans" w:hAnsi="Open Sans" w:cs="Open Sans"/>
              </w:rPr>
            </w:pPr>
            <w:r w:rsidRPr="009D3041">
              <w:rPr>
                <w:rFonts w:ascii="Open Sans" w:hAnsi="Open Sans" w:cs="Open Sans"/>
              </w:rPr>
              <w:t xml:space="preserve">okres spłaty kapitału pożyczki prognozowany przez Wnioskodawcę będzie niezbędny - należy uzasadnić, że zaproponowany poziom nadwyżki finansowej generowanej przez przedsięwzięcie, powstałej w wyniku uzyskiwania przychodów bądź oszczędności na kosztach eksploatacyjnych i/lub nadwyżki pochodzącej z pozostałej działalności Wnioskodawcy, przeznaczonej na spłatę pożyczki jest optymalny, co potwierdza także m.in. wartość wskaźnika pokrycia obsługi zadłużenia (WPOD: [(środki pieniężne z działalności operacyjnej + środki pieniężne z działalności inwestycyjnej + wpływy z działalności finansowej + środki pieniężne na początek okresu) / wydatki z działalności finansowej], bądź spełnienie relacji dotyczącej długu i jego obsługi wg art. 243 ustawy o finansach publicznych. </w:t>
            </w:r>
          </w:p>
          <w:p w14:paraId="459C3376" w14:textId="77777777" w:rsidR="003F020D" w:rsidRPr="009D3041" w:rsidRDefault="003F020D" w:rsidP="009D3041">
            <w:pPr>
              <w:spacing w:line="276" w:lineRule="auto"/>
              <w:ind w:left="776"/>
              <w:rPr>
                <w:rFonts w:ascii="Open Sans" w:hAnsi="Open Sans" w:cs="Open Sans"/>
              </w:rPr>
            </w:pPr>
            <w:r w:rsidRPr="009D3041">
              <w:rPr>
                <w:rFonts w:ascii="Open Sans" w:hAnsi="Open Sans" w:cs="Open Sans"/>
              </w:rPr>
              <w:lastRenderedPageBreak/>
              <w:t>Warunki udzielenia dofinansowania powinny stanowić niezbędne i uzasadnione preferencje dla Wnioskodawcy, dlatego NFOŚiGW zastrzega, że na etapie oceny wniosku, na podstawie analiz finansowych przedsięwzięcia (zdolność przedsięwzięcia do samofinansowania się) i/lub Wnioskodawcy, może postanowić o innym niż zaproponowany przez Wnioskodawcę okresie  karencji w spłacie kapitału pożyczki (np. krótszym w przypadku braku uzasadnienia finansowego przedstawionej propozycji, wydłużonym w przypadku ubiegania się o ewentualne umorzenie), okresie spłaty kapitału pożyczki i w konsekwencji okresie finansowania).</w:t>
            </w:r>
          </w:p>
          <w:p w14:paraId="146EFE7A" w14:textId="77777777" w:rsidR="003F020D" w:rsidRPr="009D3041" w:rsidRDefault="003F020D" w:rsidP="009D3041">
            <w:pPr>
              <w:spacing w:line="276" w:lineRule="auto"/>
              <w:ind w:left="776"/>
              <w:rPr>
                <w:rFonts w:ascii="Open Sans" w:hAnsi="Open Sans" w:cs="Open Sans"/>
              </w:rPr>
            </w:pPr>
            <w:r w:rsidRPr="009D3041">
              <w:rPr>
                <w:rFonts w:ascii="Open Sans" w:hAnsi="Open Sans" w:cs="Open Sans"/>
              </w:rPr>
              <w:t xml:space="preserve">Zewnętrze źródła finansowania (np. pożyczka, kredyt bankowy) powinny być opisane w zakresie analogicznym jak dla dofinansowania z NFOŚiGW, przy czym w przypadku pożyczek (tzw. podporządkowanych, właścicielskich od udziałowca, czy od podmiotu powiązanego) należy przedstawić także sytuację finansową podmiotu udzielającego pożyczki potwierdzającą możliwość dysponowania odpowiednimi środkami (nie dotyczy instytucji finansowych jak np.: </w:t>
            </w:r>
            <w:proofErr w:type="spellStart"/>
            <w:r w:rsidRPr="009D3041">
              <w:rPr>
                <w:rFonts w:ascii="Open Sans" w:hAnsi="Open Sans" w:cs="Open Sans"/>
              </w:rPr>
              <w:t>WFOŚiGW</w:t>
            </w:r>
            <w:proofErr w:type="spellEnd"/>
            <w:r w:rsidRPr="009D3041">
              <w:rPr>
                <w:rFonts w:ascii="Open Sans" w:hAnsi="Open Sans" w:cs="Open Sans"/>
              </w:rPr>
              <w:t xml:space="preserve"> lub bank).</w:t>
            </w:r>
          </w:p>
          <w:p w14:paraId="0125422D" w14:textId="77777777" w:rsidR="003F020D" w:rsidRPr="009D3041" w:rsidRDefault="003F020D" w:rsidP="009D3041">
            <w:pPr>
              <w:spacing w:line="276" w:lineRule="auto"/>
              <w:ind w:left="776"/>
              <w:rPr>
                <w:rFonts w:ascii="Open Sans" w:hAnsi="Open Sans" w:cs="Open Sans"/>
              </w:rPr>
            </w:pPr>
            <w:r w:rsidRPr="009D3041">
              <w:rPr>
                <w:rFonts w:ascii="Open Sans" w:hAnsi="Open Sans" w:cs="Open Sans"/>
              </w:rPr>
              <w:t>W przypadku przedsięwzięć realizowanych w formule „</w:t>
            </w:r>
            <w:proofErr w:type="spellStart"/>
            <w:r w:rsidRPr="009D3041">
              <w:rPr>
                <w:rFonts w:ascii="Open Sans" w:hAnsi="Open Sans" w:cs="Open Sans"/>
              </w:rPr>
              <w:t>project</w:t>
            </w:r>
            <w:proofErr w:type="spellEnd"/>
            <w:r w:rsidRPr="009D3041">
              <w:rPr>
                <w:rFonts w:ascii="Open Sans" w:hAnsi="Open Sans" w:cs="Open Sans"/>
              </w:rPr>
              <w:t xml:space="preserve"> </w:t>
            </w:r>
            <w:proofErr w:type="spellStart"/>
            <w:r w:rsidRPr="009D3041">
              <w:rPr>
                <w:rFonts w:ascii="Open Sans" w:hAnsi="Open Sans" w:cs="Open Sans"/>
              </w:rPr>
              <w:t>finance</w:t>
            </w:r>
            <w:proofErr w:type="spellEnd"/>
            <w:r w:rsidRPr="009D3041">
              <w:rPr>
                <w:rFonts w:ascii="Open Sans" w:hAnsi="Open Sans" w:cs="Open Sans"/>
              </w:rPr>
              <w:t>” powinien zostać zapewniony udział środków własnych Wnioskodawcy w wysokości minimum 15% kosztów kwalifikowanych przedsięwzięcia (z zastrzeżeniem, że środki własne nie obejmują: kredytów bankowych, emisji obligacji, pożyczek właścicielskich, pożyczek udzielonych przez inne podmioty itp.) wniesiony w postaci udziału kapitału zakładowego pokrytego wkładem pieniężnym, wraz z wymogiem wydatkowania środków własnych w pierwszej kolejności.</w:t>
            </w:r>
          </w:p>
          <w:p w14:paraId="0D686023" w14:textId="77777777" w:rsidR="003F020D" w:rsidRPr="009D3041" w:rsidRDefault="003F020D" w:rsidP="009D3041">
            <w:pPr>
              <w:spacing w:line="276" w:lineRule="auto"/>
              <w:ind w:left="776"/>
              <w:rPr>
                <w:rFonts w:ascii="Open Sans" w:hAnsi="Open Sans" w:cs="Open Sans"/>
              </w:rPr>
            </w:pPr>
            <w:r w:rsidRPr="009D3041">
              <w:rPr>
                <w:rFonts w:ascii="Open Sans" w:hAnsi="Open Sans" w:cs="Open Sans"/>
              </w:rPr>
              <w:t>Przy czym przedsięwzięcie realizowane w formule „</w:t>
            </w:r>
            <w:proofErr w:type="spellStart"/>
            <w:r w:rsidRPr="009D3041">
              <w:rPr>
                <w:rFonts w:ascii="Open Sans" w:hAnsi="Open Sans" w:cs="Open Sans"/>
              </w:rPr>
              <w:t>project</w:t>
            </w:r>
            <w:proofErr w:type="spellEnd"/>
            <w:r w:rsidRPr="009D3041">
              <w:rPr>
                <w:rFonts w:ascii="Open Sans" w:hAnsi="Open Sans" w:cs="Open Sans"/>
              </w:rPr>
              <w:t xml:space="preserve"> </w:t>
            </w:r>
            <w:proofErr w:type="spellStart"/>
            <w:r w:rsidRPr="009D3041">
              <w:rPr>
                <w:rFonts w:ascii="Open Sans" w:hAnsi="Open Sans" w:cs="Open Sans"/>
              </w:rPr>
              <w:t>finance</w:t>
            </w:r>
            <w:proofErr w:type="spellEnd"/>
            <w:r w:rsidRPr="009D3041">
              <w:rPr>
                <w:rFonts w:ascii="Open Sans" w:hAnsi="Open Sans" w:cs="Open Sans"/>
              </w:rPr>
              <w:t>” oznacza przedsięwzięcie realizowane przez podmiot:</w:t>
            </w:r>
          </w:p>
          <w:p w14:paraId="783CE37F" w14:textId="77777777" w:rsidR="003F020D" w:rsidRPr="009D3041" w:rsidRDefault="003F020D" w:rsidP="009D3041">
            <w:pPr>
              <w:numPr>
                <w:ilvl w:val="0"/>
                <w:numId w:val="15"/>
              </w:numPr>
              <w:spacing w:after="0" w:line="276" w:lineRule="auto"/>
              <w:ind w:left="1054" w:hanging="141"/>
              <w:rPr>
                <w:rFonts w:ascii="Open Sans" w:hAnsi="Open Sans" w:cs="Open Sans"/>
              </w:rPr>
            </w:pPr>
            <w:r w:rsidRPr="009D3041">
              <w:rPr>
                <w:rFonts w:ascii="Open Sans" w:hAnsi="Open Sans" w:cs="Open Sans"/>
              </w:rPr>
              <w:t>utworzony specjalnie w celu realizacji przedsięwzięcia, który nie rozpoczął jeszcze prowadzenia działalności operacyjnej, lub</w:t>
            </w:r>
          </w:p>
          <w:p w14:paraId="52F08119" w14:textId="77777777" w:rsidR="003F020D" w:rsidRPr="009D3041" w:rsidRDefault="003F020D" w:rsidP="009D3041">
            <w:pPr>
              <w:numPr>
                <w:ilvl w:val="0"/>
                <w:numId w:val="15"/>
              </w:numPr>
              <w:spacing w:after="0" w:line="276" w:lineRule="auto"/>
              <w:ind w:left="1054" w:hanging="141"/>
              <w:rPr>
                <w:rFonts w:ascii="Open Sans" w:hAnsi="Open Sans" w:cs="Open Sans"/>
              </w:rPr>
            </w:pPr>
            <w:r w:rsidRPr="009D3041">
              <w:rPr>
                <w:rFonts w:ascii="Open Sans" w:hAnsi="Open Sans" w:cs="Open Sans"/>
              </w:rPr>
              <w:t>który prowadzi działalność operacyjną krócej niż 3 pełne lata obrachunkowe, lub</w:t>
            </w:r>
          </w:p>
          <w:p w14:paraId="6F958B59" w14:textId="77777777" w:rsidR="003F020D" w:rsidRPr="009D3041" w:rsidRDefault="003F020D" w:rsidP="009D3041">
            <w:pPr>
              <w:numPr>
                <w:ilvl w:val="0"/>
                <w:numId w:val="15"/>
              </w:numPr>
              <w:spacing w:after="0" w:line="276" w:lineRule="auto"/>
              <w:ind w:left="1054" w:hanging="141"/>
              <w:rPr>
                <w:rFonts w:ascii="Open Sans" w:hAnsi="Open Sans" w:cs="Open Sans"/>
              </w:rPr>
            </w:pPr>
            <w:r w:rsidRPr="009D3041">
              <w:rPr>
                <w:rFonts w:ascii="Open Sans" w:hAnsi="Open Sans" w:cs="Open Sans"/>
              </w:rPr>
              <w:t xml:space="preserve">który prowadzi obecnie działalność gospodarczą, ale w innej dziedzinie niż charakter przedsięwzięcia zgłoszonego we wniosku o dofinansowanie - szczególnie w przypadku, kiedy skala prowadzonej dotychczasowej </w:t>
            </w:r>
            <w:r w:rsidRPr="009D3041">
              <w:rPr>
                <w:rFonts w:ascii="Open Sans" w:hAnsi="Open Sans" w:cs="Open Sans"/>
              </w:rPr>
              <w:lastRenderedPageBreak/>
              <w:t>działalności podmiotu nie gwarantuje ewentualnego zwrotu środków w przypadku niepowodzenia realizacji przedsięwzięcia.</w:t>
            </w:r>
          </w:p>
          <w:p w14:paraId="570FCB6B" w14:textId="77777777" w:rsidR="003F020D" w:rsidRPr="009D3041" w:rsidRDefault="003F020D" w:rsidP="009D3041">
            <w:pPr>
              <w:spacing w:line="276" w:lineRule="auto"/>
              <w:ind w:left="1054"/>
              <w:rPr>
                <w:rFonts w:ascii="Open Sans" w:hAnsi="Open Sans" w:cs="Open Sans"/>
              </w:rPr>
            </w:pPr>
          </w:p>
        </w:tc>
      </w:tr>
      <w:tr w:rsidR="003F020D" w:rsidRPr="009D3041" w14:paraId="16FC23E8" w14:textId="77777777" w:rsidTr="00F6780C">
        <w:tc>
          <w:tcPr>
            <w:tcW w:w="9095" w:type="dxa"/>
          </w:tcPr>
          <w:p w14:paraId="38FE8334" w14:textId="77777777" w:rsidR="003F020D" w:rsidRPr="009D3041" w:rsidRDefault="003F020D" w:rsidP="009D3041">
            <w:pPr>
              <w:numPr>
                <w:ilvl w:val="0"/>
                <w:numId w:val="4"/>
              </w:numPr>
              <w:spacing w:before="100" w:beforeAutospacing="1" w:after="0" w:line="276" w:lineRule="auto"/>
              <w:rPr>
                <w:rFonts w:ascii="Open Sans" w:hAnsi="Open Sans" w:cs="Open Sans"/>
              </w:rPr>
            </w:pPr>
            <w:r w:rsidRPr="009D3041">
              <w:rPr>
                <w:rFonts w:ascii="Open Sans" w:hAnsi="Open Sans" w:cs="Open Sans"/>
              </w:rPr>
              <w:lastRenderedPageBreak/>
              <w:t xml:space="preserve">Analiza finansowa </w:t>
            </w:r>
            <w:r w:rsidRPr="009D3041">
              <w:rPr>
                <w:rStyle w:val="Odwoanieprzypisudolnego"/>
                <w:rFonts w:ascii="Open Sans" w:hAnsi="Open Sans" w:cs="Open Sans"/>
              </w:rPr>
              <w:footnoteReference w:id="1"/>
            </w:r>
            <w:r w:rsidRPr="009D3041">
              <w:rPr>
                <w:rFonts w:ascii="Open Sans" w:hAnsi="Open Sans" w:cs="Open Sans"/>
              </w:rPr>
              <w:t>– dane do analizy powinny być spójne z zakładką „Dane finansowe” z Wniosku wypełnianego w GWD:</w:t>
            </w:r>
          </w:p>
        </w:tc>
      </w:tr>
      <w:tr w:rsidR="003F020D" w:rsidRPr="009D3041" w14:paraId="5605F877" w14:textId="77777777" w:rsidTr="00F6780C">
        <w:tc>
          <w:tcPr>
            <w:tcW w:w="9095" w:type="dxa"/>
          </w:tcPr>
          <w:p w14:paraId="61FA2FBB" w14:textId="77777777" w:rsidR="003F020D" w:rsidRPr="009D3041" w:rsidRDefault="003F020D" w:rsidP="009D3041">
            <w:pPr>
              <w:numPr>
                <w:ilvl w:val="1"/>
                <w:numId w:val="4"/>
              </w:numPr>
              <w:spacing w:beforeAutospacing="1" w:after="0" w:line="276" w:lineRule="auto"/>
              <w:ind w:left="885" w:hanging="525"/>
              <w:rPr>
                <w:rFonts w:ascii="Open Sans" w:hAnsi="Open Sans" w:cs="Open Sans"/>
              </w:rPr>
            </w:pPr>
            <w:r w:rsidRPr="009D3041">
              <w:rPr>
                <w:rFonts w:ascii="Open Sans" w:hAnsi="Open Sans" w:cs="Open Sans"/>
              </w:rPr>
              <w:t>Założenia i metodyka analizy finansowej.</w:t>
            </w:r>
          </w:p>
        </w:tc>
      </w:tr>
      <w:tr w:rsidR="003F020D" w:rsidRPr="009D3041" w14:paraId="015DC808" w14:textId="77777777" w:rsidTr="00F6780C">
        <w:tc>
          <w:tcPr>
            <w:tcW w:w="9095" w:type="dxa"/>
          </w:tcPr>
          <w:p w14:paraId="3E19DDC6" w14:textId="77777777" w:rsidR="003F020D" w:rsidRPr="009D3041" w:rsidRDefault="003F020D" w:rsidP="009D3041">
            <w:pPr>
              <w:numPr>
                <w:ilvl w:val="1"/>
                <w:numId w:val="4"/>
              </w:numPr>
              <w:spacing w:beforeAutospacing="1" w:after="0" w:line="276" w:lineRule="auto"/>
              <w:ind w:left="885" w:hanging="525"/>
              <w:rPr>
                <w:rFonts w:ascii="Open Sans" w:hAnsi="Open Sans" w:cs="Open Sans"/>
              </w:rPr>
            </w:pPr>
            <w:r w:rsidRPr="009D3041">
              <w:rPr>
                <w:rFonts w:ascii="Open Sans" w:hAnsi="Open Sans" w:cs="Open Sans"/>
              </w:rPr>
              <w:t>Analiza bieżącej sytuacji finansowej Wnioskodawcy (na podstawie sprawozdań finansowych/budżetowych za 3 ostatnie lata obrachunkowe).</w:t>
            </w:r>
          </w:p>
        </w:tc>
      </w:tr>
      <w:tr w:rsidR="003F020D" w:rsidRPr="009D3041" w14:paraId="035D1C65" w14:textId="77777777" w:rsidTr="00F6780C">
        <w:tc>
          <w:tcPr>
            <w:tcW w:w="9095" w:type="dxa"/>
          </w:tcPr>
          <w:p w14:paraId="05CF78E2" w14:textId="77777777" w:rsidR="003F020D" w:rsidRPr="009D3041" w:rsidRDefault="003F020D" w:rsidP="009D3041">
            <w:pPr>
              <w:numPr>
                <w:ilvl w:val="1"/>
                <w:numId w:val="4"/>
              </w:numPr>
              <w:spacing w:beforeAutospacing="1" w:after="0" w:line="276" w:lineRule="auto"/>
              <w:ind w:left="885" w:hanging="525"/>
              <w:rPr>
                <w:rFonts w:ascii="Open Sans" w:hAnsi="Open Sans" w:cs="Open Sans"/>
              </w:rPr>
            </w:pPr>
            <w:r w:rsidRPr="009D3041">
              <w:rPr>
                <w:rFonts w:ascii="Open Sans" w:hAnsi="Open Sans" w:cs="Open Sans"/>
              </w:rPr>
              <w:t>Analiza popytu i prognoza przychodów sporządzona w oparciu o analizę rynku Wnioskodawcy, tj. system poboru opłat (przychody), usługi/produkty, konkurenci, oferenci, nabywcy, ceny jednostkowe, wolumeny sprzedaży, dystrybucja, itp.</w:t>
            </w:r>
          </w:p>
        </w:tc>
      </w:tr>
      <w:tr w:rsidR="003F020D" w:rsidRPr="009D3041" w14:paraId="5C68B77A" w14:textId="77777777" w:rsidTr="00F6780C">
        <w:tc>
          <w:tcPr>
            <w:tcW w:w="9095" w:type="dxa"/>
          </w:tcPr>
          <w:p w14:paraId="261706B3" w14:textId="77777777" w:rsidR="003F020D" w:rsidRPr="009D3041" w:rsidRDefault="003F020D" w:rsidP="009D3041">
            <w:pPr>
              <w:numPr>
                <w:ilvl w:val="1"/>
                <w:numId w:val="4"/>
              </w:numPr>
              <w:spacing w:beforeAutospacing="1" w:after="0" w:line="276" w:lineRule="auto"/>
              <w:ind w:left="885" w:hanging="525"/>
              <w:rPr>
                <w:rFonts w:ascii="Open Sans" w:hAnsi="Open Sans" w:cs="Open Sans"/>
              </w:rPr>
            </w:pPr>
            <w:r w:rsidRPr="009D3041">
              <w:rPr>
                <w:rFonts w:ascii="Open Sans" w:hAnsi="Open Sans" w:cs="Open Sans"/>
              </w:rPr>
              <w:t>Prognoza kosztów operacyjnych (założenia, najistotniejsze pozycje składowe, ceny jednostkowe, wolumeny, itp.).</w:t>
            </w:r>
          </w:p>
        </w:tc>
      </w:tr>
      <w:tr w:rsidR="003F020D" w:rsidRPr="009D3041" w14:paraId="7B173BAF" w14:textId="77777777" w:rsidTr="00F6780C">
        <w:tc>
          <w:tcPr>
            <w:tcW w:w="9095" w:type="dxa"/>
          </w:tcPr>
          <w:p w14:paraId="38539F68" w14:textId="77777777" w:rsidR="003F020D" w:rsidRPr="009D3041" w:rsidRDefault="003F020D" w:rsidP="009D3041">
            <w:pPr>
              <w:numPr>
                <w:ilvl w:val="1"/>
                <w:numId w:val="4"/>
              </w:numPr>
              <w:spacing w:beforeAutospacing="1" w:after="0" w:line="276" w:lineRule="auto"/>
              <w:ind w:left="885" w:hanging="525"/>
              <w:rPr>
                <w:rFonts w:ascii="Open Sans" w:hAnsi="Open Sans" w:cs="Open Sans"/>
              </w:rPr>
            </w:pPr>
            <w:r w:rsidRPr="009D3041">
              <w:rPr>
                <w:rFonts w:ascii="Open Sans" w:hAnsi="Open Sans" w:cs="Open Sans"/>
              </w:rPr>
              <w:t>Analiza zapotrzebowania na kapitał obrotowy Wnioskodawcy.</w:t>
            </w:r>
          </w:p>
        </w:tc>
      </w:tr>
      <w:tr w:rsidR="003F020D" w:rsidRPr="009D3041" w14:paraId="1A53BB90" w14:textId="77777777" w:rsidTr="00F6780C">
        <w:tc>
          <w:tcPr>
            <w:tcW w:w="9095" w:type="dxa"/>
          </w:tcPr>
          <w:p w14:paraId="45599FC9" w14:textId="77777777" w:rsidR="003F020D" w:rsidRPr="009D3041" w:rsidRDefault="003F020D" w:rsidP="009D3041">
            <w:pPr>
              <w:numPr>
                <w:ilvl w:val="1"/>
                <w:numId w:val="4"/>
              </w:numPr>
              <w:spacing w:beforeAutospacing="1" w:after="0" w:line="276" w:lineRule="auto"/>
              <w:ind w:left="885" w:hanging="525"/>
              <w:rPr>
                <w:rFonts w:ascii="Open Sans" w:hAnsi="Open Sans" w:cs="Open Sans"/>
              </w:rPr>
            </w:pPr>
            <w:r w:rsidRPr="009D3041">
              <w:rPr>
                <w:rFonts w:ascii="Open Sans" w:hAnsi="Open Sans" w:cs="Open Sans"/>
              </w:rPr>
              <w:t>Prognoza rachunku zysków i strat, w tym:</w:t>
            </w:r>
          </w:p>
        </w:tc>
      </w:tr>
      <w:tr w:rsidR="003F020D" w:rsidRPr="009D3041" w14:paraId="0F4ED10D" w14:textId="77777777" w:rsidTr="00F6780C">
        <w:tc>
          <w:tcPr>
            <w:tcW w:w="9095" w:type="dxa"/>
          </w:tcPr>
          <w:p w14:paraId="194F391D" w14:textId="77777777" w:rsidR="003F020D" w:rsidRPr="009D3041" w:rsidRDefault="003F020D" w:rsidP="009D3041">
            <w:pPr>
              <w:numPr>
                <w:ilvl w:val="2"/>
                <w:numId w:val="4"/>
              </w:numPr>
              <w:spacing w:beforeAutospacing="1" w:after="0" w:line="276" w:lineRule="auto"/>
              <w:ind w:hanging="623"/>
              <w:rPr>
                <w:rFonts w:ascii="Open Sans" w:hAnsi="Open Sans" w:cs="Open Sans"/>
              </w:rPr>
            </w:pPr>
            <w:r w:rsidRPr="009D3041">
              <w:rPr>
                <w:rFonts w:ascii="Open Sans" w:hAnsi="Open Sans" w:cs="Open Sans"/>
              </w:rPr>
              <w:t>Prognoza kosztów i przychodów operacyjnych wyodrębnionych dla przedsięwzięcia,</w:t>
            </w:r>
          </w:p>
        </w:tc>
      </w:tr>
      <w:tr w:rsidR="003F020D" w:rsidRPr="009D3041" w14:paraId="3E42D3D5" w14:textId="77777777" w:rsidTr="00F6780C">
        <w:tc>
          <w:tcPr>
            <w:tcW w:w="9095" w:type="dxa"/>
          </w:tcPr>
          <w:p w14:paraId="5DB68616" w14:textId="77777777" w:rsidR="003F020D" w:rsidRPr="009D3041" w:rsidRDefault="003F020D" w:rsidP="009D3041">
            <w:pPr>
              <w:numPr>
                <w:ilvl w:val="2"/>
                <w:numId w:val="4"/>
              </w:numPr>
              <w:spacing w:beforeAutospacing="1" w:after="0" w:line="276" w:lineRule="auto"/>
              <w:ind w:hanging="623"/>
              <w:rPr>
                <w:rFonts w:ascii="Open Sans" w:hAnsi="Open Sans" w:cs="Open Sans"/>
              </w:rPr>
            </w:pPr>
            <w:r w:rsidRPr="009D3041">
              <w:rPr>
                <w:rFonts w:ascii="Open Sans" w:hAnsi="Open Sans" w:cs="Open Sans"/>
              </w:rPr>
              <w:t xml:space="preserve">Prognoza rachunku zysków i strat dla Wnioskodawcy </w:t>
            </w:r>
          </w:p>
        </w:tc>
      </w:tr>
      <w:tr w:rsidR="003F020D" w:rsidRPr="009D3041" w14:paraId="439C201D" w14:textId="77777777" w:rsidTr="00F6780C">
        <w:tc>
          <w:tcPr>
            <w:tcW w:w="9095" w:type="dxa"/>
          </w:tcPr>
          <w:p w14:paraId="24C5640D" w14:textId="77777777" w:rsidR="003F020D" w:rsidRPr="009D3041" w:rsidRDefault="003F020D" w:rsidP="009D3041">
            <w:pPr>
              <w:numPr>
                <w:ilvl w:val="1"/>
                <w:numId w:val="4"/>
              </w:numPr>
              <w:spacing w:beforeAutospacing="1" w:after="0" w:line="276" w:lineRule="auto"/>
              <w:ind w:left="885" w:hanging="525"/>
              <w:rPr>
                <w:rFonts w:ascii="Open Sans" w:hAnsi="Open Sans" w:cs="Open Sans"/>
              </w:rPr>
            </w:pPr>
            <w:r w:rsidRPr="009D3041">
              <w:rPr>
                <w:rFonts w:ascii="Open Sans" w:hAnsi="Open Sans" w:cs="Open Sans"/>
              </w:rPr>
              <w:t>Prognoza bilansu dla Wnioskodawcy.</w:t>
            </w:r>
          </w:p>
        </w:tc>
      </w:tr>
      <w:tr w:rsidR="003F020D" w:rsidRPr="009D3041" w14:paraId="353DF298" w14:textId="77777777" w:rsidTr="00F6780C">
        <w:tc>
          <w:tcPr>
            <w:tcW w:w="9095" w:type="dxa"/>
          </w:tcPr>
          <w:p w14:paraId="5788C6C2" w14:textId="77777777" w:rsidR="003F020D" w:rsidRPr="009D3041" w:rsidRDefault="003F020D" w:rsidP="009D3041">
            <w:pPr>
              <w:numPr>
                <w:ilvl w:val="1"/>
                <w:numId w:val="4"/>
              </w:numPr>
              <w:spacing w:beforeAutospacing="1" w:after="0" w:line="276" w:lineRule="auto"/>
              <w:ind w:left="885" w:hanging="525"/>
              <w:rPr>
                <w:rFonts w:ascii="Open Sans" w:hAnsi="Open Sans" w:cs="Open Sans"/>
              </w:rPr>
            </w:pPr>
            <w:r w:rsidRPr="009D3041">
              <w:rPr>
                <w:rFonts w:ascii="Open Sans" w:hAnsi="Open Sans" w:cs="Open Sans"/>
              </w:rPr>
              <w:t>Prognoza rachunku przepływów pieniężnych dla Wnioskodawcy .</w:t>
            </w:r>
          </w:p>
        </w:tc>
      </w:tr>
      <w:tr w:rsidR="003F020D" w:rsidRPr="009D3041" w14:paraId="561FC80C" w14:textId="77777777" w:rsidTr="00F6780C">
        <w:tc>
          <w:tcPr>
            <w:tcW w:w="9095" w:type="dxa"/>
          </w:tcPr>
          <w:p w14:paraId="24907D33" w14:textId="77777777" w:rsidR="003F020D" w:rsidRPr="009D3041" w:rsidRDefault="003F020D" w:rsidP="009D3041">
            <w:pPr>
              <w:numPr>
                <w:ilvl w:val="1"/>
                <w:numId w:val="4"/>
              </w:numPr>
              <w:spacing w:beforeAutospacing="1" w:after="0" w:line="276" w:lineRule="auto"/>
              <w:ind w:left="885" w:hanging="525"/>
              <w:rPr>
                <w:rFonts w:ascii="Open Sans" w:hAnsi="Open Sans" w:cs="Open Sans"/>
              </w:rPr>
            </w:pPr>
            <w:r w:rsidRPr="009D3041">
              <w:rPr>
                <w:rFonts w:ascii="Open Sans" w:hAnsi="Open Sans" w:cs="Open Sans"/>
              </w:rPr>
              <w:t>Prognoza budżetu Wnioskodawcy</w:t>
            </w:r>
            <w:r w:rsidRPr="009D3041">
              <w:rPr>
                <w:rStyle w:val="Odwoanieprzypisudolnego"/>
                <w:rFonts w:ascii="Open Sans" w:hAnsi="Open Sans" w:cs="Open Sans"/>
              </w:rPr>
              <w:footnoteReference w:id="2"/>
            </w:r>
            <w:r w:rsidRPr="009D3041">
              <w:rPr>
                <w:rFonts w:ascii="Open Sans" w:hAnsi="Open Sans" w:cs="Open Sans"/>
              </w:rPr>
              <w:t xml:space="preserve">. </w:t>
            </w:r>
          </w:p>
        </w:tc>
      </w:tr>
      <w:tr w:rsidR="003F020D" w:rsidRPr="009D3041" w14:paraId="5E975C33" w14:textId="77777777" w:rsidTr="00F6780C">
        <w:tc>
          <w:tcPr>
            <w:tcW w:w="9095" w:type="dxa"/>
          </w:tcPr>
          <w:p w14:paraId="1C4A48E2" w14:textId="77777777" w:rsidR="003F020D" w:rsidRPr="009D3041" w:rsidRDefault="003F020D" w:rsidP="009D3041">
            <w:pPr>
              <w:numPr>
                <w:ilvl w:val="1"/>
                <w:numId w:val="4"/>
              </w:numPr>
              <w:spacing w:beforeAutospacing="1" w:after="0" w:line="276" w:lineRule="auto"/>
              <w:ind w:left="885" w:hanging="525"/>
              <w:rPr>
                <w:rFonts w:ascii="Open Sans" w:hAnsi="Open Sans" w:cs="Open Sans"/>
              </w:rPr>
            </w:pPr>
            <w:r w:rsidRPr="009D3041">
              <w:rPr>
                <w:rFonts w:ascii="Open Sans" w:hAnsi="Open Sans" w:cs="Open Sans"/>
              </w:rPr>
              <w:t>Ocena wykonalności i trwałości finansowej</w:t>
            </w:r>
            <w:r w:rsidRPr="009D3041">
              <w:rPr>
                <w:rStyle w:val="Odwoanieprzypisudolnego"/>
                <w:rFonts w:ascii="Open Sans" w:hAnsi="Open Sans" w:cs="Open Sans"/>
              </w:rPr>
              <w:footnoteReference w:id="3"/>
            </w:r>
            <w:r w:rsidRPr="009D3041">
              <w:rPr>
                <w:rFonts w:ascii="Open Sans" w:hAnsi="Open Sans" w:cs="Open Sans"/>
              </w:rPr>
              <w:t>.</w:t>
            </w:r>
          </w:p>
          <w:p w14:paraId="68DAB561" w14:textId="77777777" w:rsidR="003F020D" w:rsidRPr="009D3041" w:rsidRDefault="003F020D" w:rsidP="009D3041">
            <w:pPr>
              <w:pStyle w:val="Tekstpodstawowy"/>
              <w:spacing w:before="0" w:beforeAutospacing="0" w:line="276" w:lineRule="auto"/>
              <w:ind w:left="907" w:right="-1" w:firstLine="0"/>
              <w:jc w:val="left"/>
              <w:rPr>
                <w:rFonts w:ascii="Open Sans" w:hAnsi="Open Sans" w:cs="Open Sans"/>
                <w:b w:val="0"/>
                <w:sz w:val="22"/>
                <w:szCs w:val="22"/>
              </w:rPr>
            </w:pPr>
            <w:r w:rsidRPr="009D3041">
              <w:rPr>
                <w:rFonts w:ascii="Open Sans" w:hAnsi="Open Sans" w:cs="Open Sans"/>
                <w:b w:val="0"/>
                <w:sz w:val="22"/>
                <w:szCs w:val="22"/>
              </w:rPr>
              <w:t xml:space="preserve">Wnioskodawca powinien dokonać analizy i podsumowania wykonalności i trwałości finansowej przedsięwzięcia, przy czym wykonalność finansowa oznacza, że Wnioskodawca będzie dysponował środkami pieniężnymi wystarczającymi do realizacji/wdrożenia przedsięwzięcia, natomiast trwałość finansowa oznacza, że Wnioskodawca będzie dysponował środkami pieniężnymi do późniejszego zarządzania aktywami i ich eksploatacji. Analiza wykonalności i trwałości finansowej przedsięwzięcia powinna być </w:t>
            </w:r>
            <w:r w:rsidRPr="009D3041">
              <w:rPr>
                <w:rFonts w:ascii="Open Sans" w:hAnsi="Open Sans" w:cs="Open Sans"/>
                <w:b w:val="0"/>
                <w:sz w:val="22"/>
                <w:szCs w:val="22"/>
              </w:rPr>
              <w:lastRenderedPageBreak/>
              <w:t>przeprowadzona w oparciu o rachunek przepływów pieniężnych, z którego powinno wynikać, że Wnioskodawca ma dodatnie roczne saldo przepływów pieniężnych na koniec każdego roku prognozy.</w:t>
            </w:r>
          </w:p>
          <w:p w14:paraId="296D3BAE" w14:textId="77777777" w:rsidR="003F020D" w:rsidRPr="009D3041" w:rsidRDefault="003F020D" w:rsidP="009D3041">
            <w:pPr>
              <w:spacing w:line="276" w:lineRule="auto"/>
              <w:ind w:left="907"/>
              <w:rPr>
                <w:rFonts w:ascii="Open Sans" w:hAnsi="Open Sans" w:cs="Open Sans"/>
              </w:rPr>
            </w:pPr>
            <w:r w:rsidRPr="009D3041">
              <w:rPr>
                <w:rFonts w:ascii="Open Sans" w:hAnsi="Open Sans" w:cs="Open Sans"/>
              </w:rPr>
              <w:t>Jeżeli wykonalność i trwałość finansowa zależy od powodzenia realizacji inwestycji prowadzonej przez podmiot trzeci (np.: możliwość odbioru ciepła jest uzależniona od wybudowania suszarni drewna) należy przedstawić informacje dotyczące aktualnego stanu zaawansowania realizacji tej inwestycji, inwestora, kosztu całkowitego, planowanej daty zakończenia oraz inne informacje niezbędne do oceny wykonalności i trwałości wnioskowanego przedsięwzięcia.</w:t>
            </w:r>
          </w:p>
        </w:tc>
      </w:tr>
      <w:tr w:rsidR="003F020D" w:rsidRPr="009D3041" w14:paraId="24E13FDD" w14:textId="77777777" w:rsidTr="00F6780C">
        <w:tc>
          <w:tcPr>
            <w:tcW w:w="9095" w:type="dxa"/>
          </w:tcPr>
          <w:p w14:paraId="6FB8F022" w14:textId="77777777" w:rsidR="003F020D" w:rsidRPr="009D3041" w:rsidRDefault="003F020D" w:rsidP="009D3041">
            <w:pPr>
              <w:numPr>
                <w:ilvl w:val="1"/>
                <w:numId w:val="4"/>
              </w:numPr>
              <w:spacing w:beforeAutospacing="1" w:after="0" w:line="276" w:lineRule="auto"/>
              <w:ind w:left="885" w:hanging="534"/>
              <w:rPr>
                <w:rFonts w:ascii="Open Sans" w:hAnsi="Open Sans" w:cs="Open Sans"/>
              </w:rPr>
            </w:pPr>
            <w:r w:rsidRPr="009D3041">
              <w:rPr>
                <w:rFonts w:ascii="Open Sans" w:hAnsi="Open Sans" w:cs="Open Sans"/>
              </w:rPr>
              <w:lastRenderedPageBreak/>
              <w:t>Ocena wyników analizy finansowej i analizy wskaźnikowej (wybrane zgodnie ze specyfiką branży, rodzajem prowadzonej sprawozdawczości finansowej wskaźniki obrazujące bieżącą i prognozowaną sytuację finansową Wnioskodawcy).</w:t>
            </w:r>
          </w:p>
        </w:tc>
      </w:tr>
      <w:tr w:rsidR="003F020D" w:rsidRPr="009D3041" w14:paraId="0D543EEC" w14:textId="77777777" w:rsidTr="00F6780C">
        <w:tc>
          <w:tcPr>
            <w:tcW w:w="9095" w:type="dxa"/>
          </w:tcPr>
          <w:p w14:paraId="705BD055" w14:textId="77777777" w:rsidR="003F020D" w:rsidRPr="009D3041" w:rsidRDefault="003F020D" w:rsidP="009D3041">
            <w:pPr>
              <w:numPr>
                <w:ilvl w:val="0"/>
                <w:numId w:val="4"/>
              </w:numPr>
              <w:spacing w:beforeAutospacing="1" w:after="0" w:line="276" w:lineRule="auto"/>
              <w:rPr>
                <w:rFonts w:ascii="Open Sans" w:hAnsi="Open Sans" w:cs="Open Sans"/>
              </w:rPr>
            </w:pPr>
            <w:r w:rsidRPr="009D3041">
              <w:rPr>
                <w:rFonts w:ascii="Open Sans" w:hAnsi="Open Sans" w:cs="Open Sans"/>
              </w:rPr>
              <w:t>Ocena ryzyka i analiza wrażliwości.</w:t>
            </w:r>
          </w:p>
        </w:tc>
      </w:tr>
      <w:tr w:rsidR="003F020D" w:rsidRPr="009D3041" w14:paraId="75FC7FB5" w14:textId="77777777" w:rsidTr="00F6780C">
        <w:tc>
          <w:tcPr>
            <w:tcW w:w="9095" w:type="dxa"/>
          </w:tcPr>
          <w:p w14:paraId="73FEA8E4" w14:textId="77777777" w:rsidR="003F020D" w:rsidRPr="009D3041" w:rsidRDefault="003F020D" w:rsidP="009D3041">
            <w:pPr>
              <w:numPr>
                <w:ilvl w:val="1"/>
                <w:numId w:val="4"/>
              </w:numPr>
              <w:spacing w:after="0" w:line="276" w:lineRule="auto"/>
              <w:rPr>
                <w:rFonts w:ascii="Open Sans" w:hAnsi="Open Sans" w:cs="Open Sans"/>
              </w:rPr>
            </w:pPr>
            <w:r w:rsidRPr="009D3041">
              <w:rPr>
                <w:rFonts w:ascii="Open Sans" w:hAnsi="Open Sans" w:cs="Open Sans"/>
              </w:rPr>
              <w:t>Analiza ryzyka.</w:t>
            </w:r>
          </w:p>
          <w:p w14:paraId="0BA225C6" w14:textId="77777777" w:rsidR="003F020D" w:rsidRPr="009D3041" w:rsidRDefault="003F020D" w:rsidP="009D3041">
            <w:pPr>
              <w:spacing w:line="276" w:lineRule="auto"/>
              <w:ind w:left="792"/>
              <w:rPr>
                <w:rFonts w:ascii="Open Sans" w:hAnsi="Open Sans" w:cs="Open Sans"/>
              </w:rPr>
            </w:pPr>
            <w:r w:rsidRPr="009D3041">
              <w:rPr>
                <w:rFonts w:ascii="Open Sans" w:hAnsi="Open Sans" w:cs="Open Sans"/>
              </w:rPr>
              <w:t xml:space="preserve">Analiza ryzyka – powinna być wykonana z uwzględnieniem poniższych obszarów ryzyka: </w:t>
            </w:r>
          </w:p>
          <w:p w14:paraId="668FC29E" w14:textId="77777777" w:rsidR="003F020D" w:rsidRPr="009D3041" w:rsidRDefault="003F020D" w:rsidP="009D3041">
            <w:pPr>
              <w:numPr>
                <w:ilvl w:val="1"/>
                <w:numId w:val="12"/>
              </w:numPr>
              <w:spacing w:after="0" w:line="276" w:lineRule="auto"/>
              <w:ind w:left="1059" w:hanging="141"/>
              <w:rPr>
                <w:rFonts w:ascii="Open Sans" w:hAnsi="Open Sans" w:cs="Open Sans"/>
              </w:rPr>
            </w:pPr>
            <w:r w:rsidRPr="009D3041">
              <w:rPr>
                <w:rFonts w:ascii="Open Sans" w:hAnsi="Open Sans" w:cs="Open Sans"/>
              </w:rPr>
              <w:t>ryzyko operacyjne (np. posiadanie niezbędnej dokumentacji technicznej i decyzji administracyjnych, prawidłowość i stabilność struktury instytucjonalnej, itp.),</w:t>
            </w:r>
          </w:p>
          <w:p w14:paraId="342A0F40" w14:textId="77777777" w:rsidR="003F020D" w:rsidRPr="009D3041" w:rsidRDefault="003F020D" w:rsidP="009D3041">
            <w:pPr>
              <w:numPr>
                <w:ilvl w:val="1"/>
                <w:numId w:val="12"/>
              </w:numPr>
              <w:spacing w:after="0" w:line="276" w:lineRule="auto"/>
              <w:ind w:left="1059" w:hanging="141"/>
              <w:rPr>
                <w:rFonts w:ascii="Open Sans" w:hAnsi="Open Sans" w:cs="Open Sans"/>
              </w:rPr>
            </w:pPr>
            <w:r w:rsidRPr="009D3041">
              <w:rPr>
                <w:rFonts w:ascii="Open Sans" w:hAnsi="Open Sans" w:cs="Open Sans"/>
              </w:rPr>
              <w:t>ryzyko ekologiczne, w tym: osiągnięcia i utrzymania efektu rzeczowego i ekologicznego m.in. w określonych terminach,</w:t>
            </w:r>
          </w:p>
          <w:p w14:paraId="4C97DAA6" w14:textId="77777777" w:rsidR="003F020D" w:rsidRPr="009D3041" w:rsidRDefault="003F020D" w:rsidP="009D3041">
            <w:pPr>
              <w:numPr>
                <w:ilvl w:val="1"/>
                <w:numId w:val="12"/>
              </w:numPr>
              <w:spacing w:after="0" w:line="276" w:lineRule="auto"/>
              <w:ind w:left="1059" w:hanging="141"/>
              <w:rPr>
                <w:rFonts w:ascii="Open Sans" w:hAnsi="Open Sans" w:cs="Open Sans"/>
              </w:rPr>
            </w:pPr>
            <w:r w:rsidRPr="009D3041">
              <w:rPr>
                <w:rFonts w:ascii="Open Sans" w:hAnsi="Open Sans" w:cs="Open Sans"/>
              </w:rPr>
              <w:t>inne, w tym wykonalności i trwałości finansowej.</w:t>
            </w:r>
          </w:p>
          <w:p w14:paraId="78ABE852" w14:textId="77777777" w:rsidR="003F020D" w:rsidRPr="009D3041" w:rsidRDefault="003F020D" w:rsidP="009D3041">
            <w:pPr>
              <w:spacing w:line="276" w:lineRule="auto"/>
              <w:ind w:left="792"/>
              <w:rPr>
                <w:rFonts w:ascii="Open Sans" w:hAnsi="Open Sans" w:cs="Open Sans"/>
              </w:rPr>
            </w:pPr>
            <w:r w:rsidRPr="009D3041">
              <w:rPr>
                <w:rFonts w:ascii="Open Sans" w:hAnsi="Open Sans" w:cs="Open Sans"/>
              </w:rPr>
              <w:t xml:space="preserve">Analiza ryzyka powinna mieć charakter jakościowy i omówić okoliczności, które mogą spowodować wystąpienie określonej sytuacji. Należy przedstawić ocenę prawdopodobieństwa faktycznego wystąpienia danego ryzyka poprzez przypisanie do niego jednej z trzech kategorii prawdopodobieństwa (niskiego, średniego i wysokiego) oraz opisać okoliczności, jakie przyczyniłyby się do wystąpienia takiej sytuacji wraz ze wskazaniem działań, które podejmie Wnioskodawca w sytuacji wystąpienia </w:t>
            </w:r>
            <w:proofErr w:type="spellStart"/>
            <w:r w:rsidRPr="009D3041">
              <w:rPr>
                <w:rFonts w:ascii="Open Sans" w:hAnsi="Open Sans" w:cs="Open Sans"/>
              </w:rPr>
              <w:t>ryzyk</w:t>
            </w:r>
            <w:proofErr w:type="spellEnd"/>
            <w:r w:rsidRPr="009D3041">
              <w:rPr>
                <w:rFonts w:ascii="Open Sans" w:hAnsi="Open Sans" w:cs="Open Sans"/>
              </w:rPr>
              <w:t xml:space="preserve"> powodujących zagrożenie wystąpienia utraty płynności finansowej.</w:t>
            </w:r>
          </w:p>
        </w:tc>
      </w:tr>
      <w:tr w:rsidR="003F020D" w:rsidRPr="009D3041" w14:paraId="2BA3AE95" w14:textId="77777777" w:rsidTr="00F6780C">
        <w:tc>
          <w:tcPr>
            <w:tcW w:w="9095" w:type="dxa"/>
          </w:tcPr>
          <w:p w14:paraId="72BC2E93" w14:textId="77777777" w:rsidR="003F020D" w:rsidRPr="009D3041" w:rsidRDefault="003F020D" w:rsidP="009D3041">
            <w:pPr>
              <w:numPr>
                <w:ilvl w:val="1"/>
                <w:numId w:val="4"/>
              </w:numPr>
              <w:spacing w:beforeAutospacing="1" w:after="0" w:line="276" w:lineRule="auto"/>
              <w:rPr>
                <w:rFonts w:ascii="Open Sans" w:hAnsi="Open Sans" w:cs="Open Sans"/>
              </w:rPr>
            </w:pPr>
            <w:r w:rsidRPr="009D3041">
              <w:rPr>
                <w:rFonts w:ascii="Open Sans" w:hAnsi="Open Sans" w:cs="Open Sans"/>
              </w:rPr>
              <w:t>Analiza wrażliwości.</w:t>
            </w:r>
          </w:p>
          <w:p w14:paraId="3853A5EE" w14:textId="77777777" w:rsidR="003F020D" w:rsidRPr="009D3041" w:rsidRDefault="003F020D" w:rsidP="009D3041">
            <w:pPr>
              <w:pStyle w:val="Tekstpodstawowy"/>
              <w:spacing w:before="0" w:beforeAutospacing="0" w:line="276" w:lineRule="auto"/>
              <w:ind w:left="776" w:right="-1" w:firstLine="0"/>
              <w:jc w:val="left"/>
              <w:rPr>
                <w:rFonts w:ascii="Open Sans" w:hAnsi="Open Sans" w:cs="Open Sans"/>
                <w:b w:val="0"/>
                <w:sz w:val="22"/>
                <w:szCs w:val="22"/>
              </w:rPr>
            </w:pPr>
            <w:r w:rsidRPr="009D3041">
              <w:rPr>
                <w:rFonts w:ascii="Open Sans" w:hAnsi="Open Sans" w:cs="Open Sans"/>
                <w:b w:val="0"/>
                <w:sz w:val="22"/>
                <w:szCs w:val="22"/>
              </w:rPr>
              <w:lastRenderedPageBreak/>
              <w:t>Analiza wrażliwości – ma za zadanie zbadanie wpływu istotnych parametrów (zdefiniowanych czynników ryzyka) na:</w:t>
            </w:r>
          </w:p>
          <w:p w14:paraId="7C115DEB" w14:textId="77777777" w:rsidR="003F020D" w:rsidRPr="009D3041" w:rsidRDefault="003F020D" w:rsidP="009D3041">
            <w:pPr>
              <w:numPr>
                <w:ilvl w:val="0"/>
                <w:numId w:val="13"/>
              </w:numPr>
              <w:spacing w:after="0" w:line="276" w:lineRule="auto"/>
              <w:ind w:hanging="151"/>
              <w:rPr>
                <w:rFonts w:ascii="Open Sans" w:hAnsi="Open Sans" w:cs="Open Sans"/>
              </w:rPr>
            </w:pPr>
            <w:r w:rsidRPr="009D3041">
              <w:rPr>
                <w:rFonts w:ascii="Open Sans" w:hAnsi="Open Sans" w:cs="Open Sans"/>
              </w:rPr>
              <w:t>coroczny wynik finansowy netto Wnioskodawcy,</w:t>
            </w:r>
          </w:p>
          <w:p w14:paraId="414D04FF" w14:textId="77777777" w:rsidR="003F020D" w:rsidRPr="009D3041" w:rsidRDefault="003F020D" w:rsidP="009D3041">
            <w:pPr>
              <w:numPr>
                <w:ilvl w:val="0"/>
                <w:numId w:val="13"/>
              </w:numPr>
              <w:spacing w:after="0" w:line="276" w:lineRule="auto"/>
              <w:ind w:hanging="151"/>
              <w:rPr>
                <w:rFonts w:ascii="Open Sans" w:hAnsi="Open Sans" w:cs="Open Sans"/>
              </w:rPr>
            </w:pPr>
            <w:r w:rsidRPr="009D3041">
              <w:rPr>
                <w:rFonts w:ascii="Open Sans" w:hAnsi="Open Sans" w:cs="Open Sans"/>
              </w:rPr>
              <w:t>coroczne saldo niezdyskontowanych przepływów pieniężnych na koniec każdego roku prognozy.</w:t>
            </w:r>
          </w:p>
          <w:p w14:paraId="42C57198" w14:textId="77777777" w:rsidR="003F020D" w:rsidRPr="009D3041" w:rsidRDefault="003F020D" w:rsidP="009D3041">
            <w:pPr>
              <w:spacing w:line="276" w:lineRule="auto"/>
              <w:ind w:left="776"/>
              <w:rPr>
                <w:rFonts w:ascii="Open Sans" w:hAnsi="Open Sans" w:cs="Open Sans"/>
              </w:rPr>
            </w:pPr>
            <w:r w:rsidRPr="009D3041">
              <w:rPr>
                <w:rFonts w:ascii="Open Sans" w:hAnsi="Open Sans" w:cs="Open Sans"/>
              </w:rPr>
              <w:t>Analizę wrażliwości należy sporządzić na okres stanowiący sumę okresu realizacji oraz trwałości finansowej przedsięwzięcia (dotacja/pożyczka). W przypadku dofinansowania w formie dotacji za okres trwałości finansowej przedsięwzięcia przyjmuje się standardowo okres pięciu lat od daty zakończenia realizacji przedsięwzięcia (o ile inny okres trwałości nie wynika z wymagań określonych dla danego konkursu/naboru z danego programu priorytetowego). W przypadku dofinansowania w formie pożyczki okres trwałości finansowej to okres finansowania, który oznacza sumę okresu wypłat, karencji w spłacie kapitału oraz spłat pożyczki (zgodnie z zakresem części opisowej studium wykonalności w pkt. 5.3).</w:t>
            </w:r>
          </w:p>
        </w:tc>
      </w:tr>
    </w:tbl>
    <w:p w14:paraId="416D6637" w14:textId="77777777" w:rsidR="003F020D" w:rsidRPr="009D3041" w:rsidRDefault="003F020D" w:rsidP="009D3041">
      <w:pPr>
        <w:pStyle w:val="Tekstpodstawowy"/>
        <w:numPr>
          <w:ilvl w:val="0"/>
          <w:numId w:val="6"/>
        </w:numPr>
        <w:spacing w:before="480" w:beforeAutospacing="0" w:line="276" w:lineRule="auto"/>
        <w:ind w:left="284" w:hanging="284"/>
        <w:jc w:val="left"/>
        <w:rPr>
          <w:rFonts w:ascii="Open Sans" w:hAnsi="Open Sans" w:cs="Open Sans"/>
          <w:i/>
          <w:sz w:val="22"/>
          <w:szCs w:val="22"/>
        </w:rPr>
      </w:pPr>
      <w:r w:rsidRPr="009D3041">
        <w:rPr>
          <w:rFonts w:ascii="Open Sans" w:hAnsi="Open Sans" w:cs="Open Sans"/>
          <w:i/>
          <w:sz w:val="22"/>
          <w:szCs w:val="22"/>
        </w:rPr>
        <w:lastRenderedPageBreak/>
        <w:t>Studium Wykonalności - część obliczeniowa</w:t>
      </w:r>
    </w:p>
    <w:p w14:paraId="1CF72EE3" w14:textId="77777777" w:rsidR="003F020D" w:rsidRPr="009D3041" w:rsidRDefault="003F020D" w:rsidP="009D3041">
      <w:pPr>
        <w:pStyle w:val="Tekstpodstawowy"/>
        <w:numPr>
          <w:ilvl w:val="1"/>
          <w:numId w:val="3"/>
        </w:numPr>
        <w:tabs>
          <w:tab w:val="clear" w:pos="717"/>
        </w:tabs>
        <w:spacing w:before="60" w:beforeAutospacing="0" w:line="276" w:lineRule="auto"/>
        <w:ind w:left="284" w:right="-1"/>
        <w:jc w:val="left"/>
        <w:rPr>
          <w:rFonts w:ascii="Open Sans" w:hAnsi="Open Sans" w:cs="Open Sans"/>
          <w:b w:val="0"/>
          <w:sz w:val="22"/>
          <w:szCs w:val="22"/>
        </w:rPr>
      </w:pPr>
      <w:r w:rsidRPr="009D3041">
        <w:rPr>
          <w:rFonts w:ascii="Open Sans" w:hAnsi="Open Sans" w:cs="Open Sans"/>
          <w:b w:val="0"/>
          <w:sz w:val="22"/>
          <w:szCs w:val="22"/>
        </w:rPr>
        <w:t>Część obliczeniowa sporządzana i prezentowana jest w aktywnym modelu finansowym, sporządzonym w postaci arkusza kalkulacyjnego. Model finansowy powinien zawierać analizy finansowe oraz być sporządzony w taki sposób, aby można było prześledzić tok poprawności dokonanych wyliczeń (arkusze kalkulacyjne powinny być powiązane ze sobą aktywnymi i odblokowanymi formułami, które nie mogą być ukryte). Poprawny model finansowy powinien składać się z wyraźnie wyodrębnionych elementów (np. zakładek):</w:t>
      </w:r>
    </w:p>
    <w:p w14:paraId="51CE8B50" w14:textId="77777777" w:rsidR="003F020D" w:rsidRPr="009D3041" w:rsidRDefault="003F020D" w:rsidP="009D3041">
      <w:pPr>
        <w:pStyle w:val="Tekstpodstawowy"/>
        <w:numPr>
          <w:ilvl w:val="0"/>
          <w:numId w:val="16"/>
        </w:numPr>
        <w:spacing w:before="60" w:beforeAutospacing="0" w:line="276" w:lineRule="auto"/>
        <w:ind w:left="709" w:right="-1" w:hanging="283"/>
        <w:jc w:val="left"/>
        <w:rPr>
          <w:rFonts w:ascii="Open Sans" w:hAnsi="Open Sans" w:cs="Open Sans"/>
          <w:b w:val="0"/>
          <w:sz w:val="22"/>
          <w:szCs w:val="22"/>
        </w:rPr>
      </w:pPr>
      <w:r w:rsidRPr="009D3041">
        <w:rPr>
          <w:rFonts w:ascii="Open Sans" w:hAnsi="Open Sans" w:cs="Open Sans"/>
          <w:b w:val="0"/>
          <w:sz w:val="22"/>
          <w:szCs w:val="22"/>
        </w:rPr>
        <w:t>założenia,</w:t>
      </w:r>
    </w:p>
    <w:p w14:paraId="7BC35586" w14:textId="77777777" w:rsidR="003F020D" w:rsidRPr="009D3041" w:rsidRDefault="003F020D" w:rsidP="009D3041">
      <w:pPr>
        <w:pStyle w:val="Tekstpodstawowy"/>
        <w:numPr>
          <w:ilvl w:val="0"/>
          <w:numId w:val="16"/>
        </w:numPr>
        <w:spacing w:before="60" w:beforeAutospacing="0" w:line="276" w:lineRule="auto"/>
        <w:ind w:left="709" w:right="-1" w:hanging="283"/>
        <w:jc w:val="left"/>
        <w:rPr>
          <w:rFonts w:ascii="Open Sans" w:hAnsi="Open Sans" w:cs="Open Sans"/>
          <w:b w:val="0"/>
          <w:sz w:val="22"/>
          <w:szCs w:val="22"/>
        </w:rPr>
      </w:pPr>
      <w:r w:rsidRPr="009D3041">
        <w:rPr>
          <w:rFonts w:ascii="Open Sans" w:hAnsi="Open Sans" w:cs="Open Sans"/>
          <w:b w:val="0"/>
          <w:sz w:val="22"/>
          <w:szCs w:val="22"/>
        </w:rPr>
        <w:t>obliczenia,</w:t>
      </w:r>
    </w:p>
    <w:p w14:paraId="0FB4F13D" w14:textId="77777777" w:rsidR="003F020D" w:rsidRPr="009D3041" w:rsidRDefault="003F020D" w:rsidP="009D3041">
      <w:pPr>
        <w:pStyle w:val="Tekstpodstawowy"/>
        <w:numPr>
          <w:ilvl w:val="0"/>
          <w:numId w:val="16"/>
        </w:numPr>
        <w:spacing w:before="60" w:beforeAutospacing="0" w:line="276" w:lineRule="auto"/>
        <w:ind w:left="709" w:right="-1" w:hanging="283"/>
        <w:jc w:val="left"/>
        <w:rPr>
          <w:rFonts w:ascii="Open Sans" w:hAnsi="Open Sans" w:cs="Open Sans"/>
          <w:b w:val="0"/>
          <w:sz w:val="22"/>
          <w:szCs w:val="22"/>
        </w:rPr>
      </w:pPr>
      <w:r w:rsidRPr="009D3041">
        <w:rPr>
          <w:rFonts w:ascii="Open Sans" w:hAnsi="Open Sans" w:cs="Open Sans"/>
          <w:b w:val="0"/>
          <w:sz w:val="22"/>
          <w:szCs w:val="22"/>
        </w:rPr>
        <w:t>wyniki,</w:t>
      </w:r>
    </w:p>
    <w:p w14:paraId="2B9778DE" w14:textId="77777777" w:rsidR="003F020D" w:rsidRPr="009D3041" w:rsidRDefault="003F020D" w:rsidP="009D3041">
      <w:pPr>
        <w:pStyle w:val="Tekstpodstawowy"/>
        <w:numPr>
          <w:ilvl w:val="0"/>
          <w:numId w:val="16"/>
        </w:numPr>
        <w:spacing w:before="60" w:beforeAutospacing="0" w:line="276" w:lineRule="auto"/>
        <w:ind w:left="709" w:right="-1" w:hanging="283"/>
        <w:jc w:val="left"/>
        <w:rPr>
          <w:rFonts w:ascii="Open Sans" w:hAnsi="Open Sans" w:cs="Open Sans"/>
          <w:b w:val="0"/>
          <w:sz w:val="22"/>
          <w:szCs w:val="22"/>
        </w:rPr>
      </w:pPr>
      <w:r w:rsidRPr="009D3041">
        <w:rPr>
          <w:rFonts w:ascii="Open Sans" w:hAnsi="Open Sans" w:cs="Open Sans"/>
          <w:b w:val="0"/>
          <w:sz w:val="22"/>
          <w:szCs w:val="22"/>
        </w:rPr>
        <w:t>wyliczenie luki finansowej (na potrzeby oceny dopuszczalności pomocy publicznej – o ile dotyczy).</w:t>
      </w:r>
    </w:p>
    <w:p w14:paraId="6D04AFF7" w14:textId="77777777" w:rsidR="003F020D" w:rsidRPr="009D3041" w:rsidRDefault="003F020D" w:rsidP="009D3041">
      <w:pPr>
        <w:pStyle w:val="Tekstpodstawowy"/>
        <w:spacing w:before="60" w:beforeAutospacing="0" w:line="276" w:lineRule="auto"/>
        <w:ind w:left="284" w:right="-1" w:firstLine="0"/>
        <w:jc w:val="left"/>
        <w:rPr>
          <w:rFonts w:ascii="Open Sans" w:hAnsi="Open Sans" w:cs="Open Sans"/>
          <w:b w:val="0"/>
          <w:sz w:val="22"/>
          <w:szCs w:val="22"/>
        </w:rPr>
      </w:pPr>
      <w:r w:rsidRPr="009D3041">
        <w:rPr>
          <w:rFonts w:ascii="Open Sans" w:hAnsi="Open Sans" w:cs="Open Sans"/>
          <w:b w:val="0"/>
          <w:sz w:val="22"/>
          <w:szCs w:val="22"/>
        </w:rPr>
        <w:t>Wyliczenia w zakładkach: obliczenia, wyniki, wyliczenie luki finansowej (o ile dotyczy) nie mogą być wykonane poprzez dokonanie operacji na wartościach niewiadomego pochodzenia wpisanych „ręcznie”. Powinny mieć swoje źródło w założeniach, a rezultaty dokonanych obliczeń przeprowadzonych za pomocą widocznych i odblokowanych formuł powinny być uwidocznione w tabelach wynikowych.</w:t>
      </w:r>
    </w:p>
    <w:p w14:paraId="67DF9655" w14:textId="77777777" w:rsidR="003F020D" w:rsidRPr="009D3041" w:rsidRDefault="003F020D" w:rsidP="009D3041">
      <w:pPr>
        <w:pStyle w:val="Tekstpodstawowy"/>
        <w:spacing w:before="60" w:beforeAutospacing="0" w:line="276" w:lineRule="auto"/>
        <w:ind w:left="284" w:right="-1" w:firstLine="0"/>
        <w:jc w:val="left"/>
        <w:rPr>
          <w:rFonts w:ascii="Open Sans" w:hAnsi="Open Sans" w:cs="Open Sans"/>
          <w:b w:val="0"/>
          <w:sz w:val="22"/>
          <w:szCs w:val="22"/>
        </w:rPr>
      </w:pPr>
      <w:r w:rsidRPr="009D3041">
        <w:rPr>
          <w:rFonts w:ascii="Open Sans" w:hAnsi="Open Sans" w:cs="Open Sans"/>
          <w:b w:val="0"/>
          <w:sz w:val="22"/>
          <w:szCs w:val="22"/>
        </w:rPr>
        <w:lastRenderedPageBreak/>
        <w:t>Model powinien prezentować sprawozdania finansowe w zakresie dotychczasowej działalności wnioskodawcy i prognozy w okresie odniesienia w układzie zgodnym z ustawą o rachunkowości (rachunek zysków i strat, bilans, rachunek przepływów pieniężnych – nawet jeśli wnioskodawca nie jest zobligowany ustawą do jego sporządzania) oraz przepływy dla projektu niezbędne do wyliczenia wskaźników efektywności finansowej i luki finansowej.</w:t>
      </w:r>
    </w:p>
    <w:p w14:paraId="0797219C" w14:textId="77777777" w:rsidR="003F020D" w:rsidRPr="009D3041" w:rsidRDefault="003F020D" w:rsidP="009D3041">
      <w:pPr>
        <w:pStyle w:val="Tekstpodstawowy"/>
        <w:numPr>
          <w:ilvl w:val="1"/>
          <w:numId w:val="3"/>
        </w:numPr>
        <w:tabs>
          <w:tab w:val="clear" w:pos="717"/>
        </w:tabs>
        <w:spacing w:before="60" w:beforeAutospacing="0" w:line="276" w:lineRule="auto"/>
        <w:ind w:left="284" w:right="-1"/>
        <w:jc w:val="left"/>
        <w:rPr>
          <w:rFonts w:ascii="Open Sans" w:hAnsi="Open Sans" w:cs="Open Sans"/>
          <w:b w:val="0"/>
          <w:sz w:val="22"/>
          <w:szCs w:val="22"/>
        </w:rPr>
      </w:pPr>
      <w:r w:rsidRPr="009D3041">
        <w:rPr>
          <w:rFonts w:ascii="Open Sans" w:hAnsi="Open Sans" w:cs="Open Sans"/>
          <w:b w:val="0"/>
          <w:sz w:val="22"/>
          <w:szCs w:val="22"/>
        </w:rPr>
        <w:t>Arkusz kalkulacyjny nie powinien być chroniony i skompresowany, a także nie powinien zawierać łączy do zewnętrznych plików.</w:t>
      </w:r>
    </w:p>
    <w:p w14:paraId="4BF11245" w14:textId="77777777" w:rsidR="003F020D" w:rsidRPr="009D3041" w:rsidRDefault="003F020D" w:rsidP="009D3041">
      <w:pPr>
        <w:pStyle w:val="Tekstpodstawowy"/>
        <w:numPr>
          <w:ilvl w:val="1"/>
          <w:numId w:val="3"/>
        </w:numPr>
        <w:tabs>
          <w:tab w:val="clear" w:pos="717"/>
        </w:tabs>
        <w:spacing w:before="60" w:beforeAutospacing="0" w:line="276" w:lineRule="auto"/>
        <w:ind w:left="284" w:right="-1"/>
        <w:jc w:val="left"/>
        <w:rPr>
          <w:rFonts w:ascii="Open Sans" w:hAnsi="Open Sans" w:cs="Open Sans"/>
          <w:b w:val="0"/>
          <w:sz w:val="22"/>
          <w:szCs w:val="22"/>
        </w:rPr>
      </w:pPr>
      <w:r w:rsidRPr="009D3041">
        <w:rPr>
          <w:rFonts w:ascii="Open Sans" w:hAnsi="Open Sans" w:cs="Open Sans"/>
          <w:b w:val="0"/>
          <w:sz w:val="22"/>
          <w:szCs w:val="22"/>
        </w:rPr>
        <w:t>Uzupełnienie tabel finansowych zawartych we wniosku wypełnianym w GWD nie zastępuje sporządzenia aktywnego modelu finansowego. Tabele finansowe zawarte w GWD służą wyłącznie do prezentacji wyników obliczeń przeprowadzonych w modelu finansowym, w oparciu o przyjęte założenia. Tabele finansowe o zakresie wskazanym w GWD powinny stanowić część modelu finansowego, a co za tym idzie być odpowiednio powiązane z pozostałymi danymi modelu, z uwzględnieniem wymagań odnośnie aktywnych formuł.</w:t>
      </w:r>
    </w:p>
    <w:p w14:paraId="7A56CE89" w14:textId="77777777" w:rsidR="003F020D" w:rsidRPr="009D3041" w:rsidRDefault="003F020D" w:rsidP="009D3041">
      <w:pPr>
        <w:pStyle w:val="Tekstpodstawowy"/>
        <w:numPr>
          <w:ilvl w:val="0"/>
          <w:numId w:val="6"/>
        </w:numPr>
        <w:spacing w:before="480" w:beforeAutospacing="0" w:line="276" w:lineRule="auto"/>
        <w:ind w:left="284" w:hanging="284"/>
        <w:jc w:val="left"/>
        <w:rPr>
          <w:rFonts w:ascii="Open Sans" w:hAnsi="Open Sans" w:cs="Open Sans"/>
          <w:i/>
          <w:sz w:val="22"/>
          <w:szCs w:val="22"/>
        </w:rPr>
      </w:pPr>
      <w:r w:rsidRPr="009D3041">
        <w:rPr>
          <w:rFonts w:ascii="Open Sans" w:hAnsi="Open Sans" w:cs="Open Sans"/>
          <w:i/>
          <w:sz w:val="22"/>
          <w:szCs w:val="22"/>
        </w:rPr>
        <w:t>Dodatkowe objaśnienia do sporządzenia Studium Wykonalności</w:t>
      </w:r>
    </w:p>
    <w:p w14:paraId="6F3E4611" w14:textId="77777777" w:rsidR="003F020D" w:rsidRPr="009D3041" w:rsidRDefault="003F020D" w:rsidP="009D3041">
      <w:pPr>
        <w:pStyle w:val="Tekstpodstawowy"/>
        <w:numPr>
          <w:ilvl w:val="1"/>
          <w:numId w:val="3"/>
        </w:numPr>
        <w:tabs>
          <w:tab w:val="clear" w:pos="717"/>
        </w:tabs>
        <w:spacing w:before="60" w:beforeAutospacing="0" w:line="276" w:lineRule="auto"/>
        <w:ind w:left="284" w:right="-1"/>
        <w:jc w:val="left"/>
        <w:rPr>
          <w:rFonts w:ascii="Open Sans" w:hAnsi="Open Sans" w:cs="Open Sans"/>
          <w:b w:val="0"/>
          <w:sz w:val="22"/>
          <w:szCs w:val="22"/>
        </w:rPr>
      </w:pPr>
      <w:r w:rsidRPr="009D3041">
        <w:rPr>
          <w:rFonts w:ascii="Open Sans" w:hAnsi="Open Sans" w:cs="Open Sans"/>
          <w:b w:val="0"/>
          <w:sz w:val="22"/>
          <w:szCs w:val="22"/>
        </w:rPr>
        <w:t xml:space="preserve">Przedstawiony w Studium Wykonalności zakres analizy finansowej może być rozszerzany odpowiednio do charakteru i/lub struktury prawno-finansowej przedsięwzięcia; </w:t>
      </w:r>
    </w:p>
    <w:p w14:paraId="4312F462" w14:textId="77777777" w:rsidR="003F020D" w:rsidRPr="009D3041" w:rsidRDefault="003F020D" w:rsidP="009D3041">
      <w:pPr>
        <w:pStyle w:val="Tekstpodstawowy"/>
        <w:numPr>
          <w:ilvl w:val="1"/>
          <w:numId w:val="3"/>
        </w:numPr>
        <w:tabs>
          <w:tab w:val="clear" w:pos="717"/>
        </w:tabs>
        <w:spacing w:before="60" w:beforeAutospacing="0" w:line="276" w:lineRule="auto"/>
        <w:ind w:left="284" w:right="-1"/>
        <w:jc w:val="left"/>
        <w:rPr>
          <w:rFonts w:ascii="Open Sans" w:hAnsi="Open Sans" w:cs="Open Sans"/>
          <w:b w:val="0"/>
          <w:sz w:val="22"/>
          <w:szCs w:val="22"/>
        </w:rPr>
      </w:pPr>
      <w:r w:rsidRPr="009D3041">
        <w:rPr>
          <w:rFonts w:ascii="Open Sans" w:hAnsi="Open Sans" w:cs="Open Sans"/>
          <w:b w:val="0"/>
          <w:sz w:val="22"/>
          <w:szCs w:val="22"/>
        </w:rPr>
        <w:t>Założenia do analizy finansowej:</w:t>
      </w:r>
    </w:p>
    <w:p w14:paraId="49363755" w14:textId="77777777" w:rsidR="003F020D" w:rsidRPr="009D3041" w:rsidRDefault="003F020D" w:rsidP="009D3041">
      <w:pPr>
        <w:pStyle w:val="Tekstpodstawowy"/>
        <w:numPr>
          <w:ilvl w:val="0"/>
          <w:numId w:val="7"/>
        </w:numPr>
        <w:spacing w:before="0" w:beforeAutospacing="0" w:line="276" w:lineRule="auto"/>
        <w:ind w:left="709" w:right="-1" w:hanging="283"/>
        <w:jc w:val="left"/>
        <w:rPr>
          <w:rFonts w:ascii="Open Sans" w:hAnsi="Open Sans" w:cs="Open Sans"/>
          <w:b w:val="0"/>
          <w:sz w:val="22"/>
          <w:szCs w:val="22"/>
        </w:rPr>
      </w:pPr>
      <w:r w:rsidRPr="009D3041">
        <w:rPr>
          <w:rFonts w:ascii="Open Sans" w:hAnsi="Open Sans" w:cs="Open Sans"/>
          <w:b w:val="0"/>
          <w:sz w:val="22"/>
          <w:szCs w:val="22"/>
        </w:rPr>
        <w:t xml:space="preserve">Poszczególne elementy analizy finansowej powinny posiadać realne i uzasadnione założenia, z przywołaniem źródeł danych lub opisem metodologii ich sporządzenia; </w:t>
      </w:r>
    </w:p>
    <w:p w14:paraId="3FF588A7" w14:textId="77777777" w:rsidR="003F020D" w:rsidRPr="009D3041" w:rsidRDefault="003F020D" w:rsidP="009D3041">
      <w:pPr>
        <w:numPr>
          <w:ilvl w:val="0"/>
          <w:numId w:val="7"/>
        </w:numPr>
        <w:spacing w:after="0" w:line="276" w:lineRule="auto"/>
        <w:ind w:left="709" w:hanging="283"/>
        <w:rPr>
          <w:rFonts w:ascii="Open Sans" w:hAnsi="Open Sans" w:cs="Open Sans"/>
        </w:rPr>
      </w:pPr>
      <w:r w:rsidRPr="009D3041">
        <w:rPr>
          <w:rFonts w:ascii="Open Sans" w:hAnsi="Open Sans" w:cs="Open Sans"/>
        </w:rPr>
        <w:t xml:space="preserve">Analiza finansowa powinna być sporządzona w cenach stałych (realnych). Należy zwrócić uwagę, ze przeprowadzenie analizy w cenach stałych nie jest równoznaczne z brakiem zmienności cen. Ceny stałe (realne) tym różnią się od cen bieżących (nominalnych), że nie uwzględniają wpływu inflacji na dane finansowe. Jednakże ceny stałe mogą ulegać zmianie z powodów </w:t>
      </w:r>
      <w:proofErr w:type="spellStart"/>
      <w:r w:rsidRPr="009D3041">
        <w:rPr>
          <w:rFonts w:ascii="Open Sans" w:hAnsi="Open Sans" w:cs="Open Sans"/>
        </w:rPr>
        <w:t>pozaiflacyjnych</w:t>
      </w:r>
      <w:proofErr w:type="spellEnd"/>
      <w:r w:rsidRPr="009D3041">
        <w:rPr>
          <w:rFonts w:ascii="Open Sans" w:hAnsi="Open Sans" w:cs="Open Sans"/>
        </w:rPr>
        <w:t xml:space="preserve">. Dla cen stałych zaleca się stosowanie stopy dyskontowej w wysokości 4%; </w:t>
      </w:r>
    </w:p>
    <w:p w14:paraId="4988412A" w14:textId="77777777" w:rsidR="003F020D" w:rsidRPr="009D3041" w:rsidRDefault="003F020D" w:rsidP="009D3041">
      <w:pPr>
        <w:numPr>
          <w:ilvl w:val="0"/>
          <w:numId w:val="7"/>
        </w:numPr>
        <w:spacing w:before="100" w:beforeAutospacing="1" w:after="0" w:line="276" w:lineRule="auto"/>
        <w:ind w:left="709" w:hanging="283"/>
        <w:rPr>
          <w:rFonts w:ascii="Open Sans" w:hAnsi="Open Sans" w:cs="Open Sans"/>
        </w:rPr>
      </w:pPr>
      <w:r w:rsidRPr="009D3041">
        <w:rPr>
          <w:rFonts w:ascii="Open Sans" w:hAnsi="Open Sans" w:cs="Open Sans"/>
        </w:rPr>
        <w:t xml:space="preserve">Zagadnienia podatkowe powinny zostać ujęte w oparciu o obowiązujące przepisy prawa; </w:t>
      </w:r>
    </w:p>
    <w:p w14:paraId="0B38C193" w14:textId="77777777" w:rsidR="003F020D" w:rsidRPr="009D3041" w:rsidRDefault="003F020D" w:rsidP="009D3041">
      <w:pPr>
        <w:numPr>
          <w:ilvl w:val="0"/>
          <w:numId w:val="7"/>
        </w:numPr>
        <w:spacing w:after="0" w:line="276" w:lineRule="auto"/>
        <w:ind w:left="709" w:hanging="283"/>
        <w:rPr>
          <w:rFonts w:ascii="Open Sans" w:hAnsi="Open Sans" w:cs="Open Sans"/>
        </w:rPr>
      </w:pPr>
      <w:r w:rsidRPr="009D3041">
        <w:rPr>
          <w:rFonts w:ascii="Open Sans" w:hAnsi="Open Sans" w:cs="Open Sans"/>
        </w:rPr>
        <w:t xml:space="preserve">Założenia makroekonomiczne, o ile są niezbędne dla przeprowadzenia analizy, powinny zostać ujęte i przedstawione w zakresie adekwatnym dla charakteru przedsięwzięcia i jego modelu finansowego, z podaniem źródeł pochodzenia </w:t>
      </w:r>
      <w:r w:rsidRPr="009D3041">
        <w:rPr>
          <w:rFonts w:ascii="Open Sans" w:hAnsi="Open Sans" w:cs="Open Sans"/>
        </w:rPr>
        <w:lastRenderedPageBreak/>
        <w:t>danych. Zaleca się stosowanie wskaźników makroekonomicznych publikowanych przez Ministerstwo Finansów w dokumencie pn. „Wytyczne dotyczące stosowania jednolitych wskaźników makroekonomicznych będących podstawą oszacowania skutków finansowych projektowanych ustaw”, po skorygowaniu nieaktualnych danych i przyjęciu danych z ostatniego roku dla następnych lat prognozy. W przypadku wykorzystania innych wartości wskaźników makroekonomicznych należy przedstawić uzasadnienie i źródło tych danych.</w:t>
      </w:r>
    </w:p>
    <w:sectPr w:rsidR="003F020D" w:rsidRPr="009D3041" w:rsidSect="004E60DD">
      <w:headerReference w:type="default" r:id="rId7"/>
      <w:footerReference w:type="default" r:id="rId8"/>
      <w:pgSz w:w="11906" w:h="16838"/>
      <w:pgMar w:top="297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57A071" w14:textId="77777777" w:rsidR="00BA54F3" w:rsidRDefault="00BA54F3" w:rsidP="005E13FE">
      <w:pPr>
        <w:spacing w:after="0" w:line="240" w:lineRule="auto"/>
      </w:pPr>
      <w:r>
        <w:separator/>
      </w:r>
    </w:p>
  </w:endnote>
  <w:endnote w:type="continuationSeparator" w:id="0">
    <w:p w14:paraId="3F0B2DA0" w14:textId="77777777" w:rsidR="00BA54F3" w:rsidRDefault="00BA54F3" w:rsidP="005E1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8732723"/>
      <w:docPartObj>
        <w:docPartGallery w:val="Page Numbers (Bottom of Page)"/>
        <w:docPartUnique/>
      </w:docPartObj>
    </w:sdtPr>
    <w:sdtContent>
      <w:p w14:paraId="11E98CA6" w14:textId="44EBD772" w:rsidR="00DF2261" w:rsidRDefault="00DF2261">
        <w:pPr>
          <w:pStyle w:val="Stopka"/>
          <w:jc w:val="center"/>
        </w:pPr>
        <w:r>
          <w:fldChar w:fldCharType="begin"/>
        </w:r>
        <w:r>
          <w:instrText>PAGE   \* MERGEFORMAT</w:instrText>
        </w:r>
        <w:r>
          <w:fldChar w:fldCharType="separate"/>
        </w:r>
        <w:r>
          <w:t>2</w:t>
        </w:r>
        <w:r>
          <w:fldChar w:fldCharType="end"/>
        </w:r>
      </w:p>
    </w:sdtContent>
  </w:sdt>
  <w:p w14:paraId="79353D21" w14:textId="77777777" w:rsidR="00DF2261" w:rsidRDefault="00DF22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666C7" w14:textId="77777777" w:rsidR="00BA54F3" w:rsidRDefault="00BA54F3" w:rsidP="005E13FE">
      <w:pPr>
        <w:spacing w:after="0" w:line="240" w:lineRule="auto"/>
      </w:pPr>
      <w:r>
        <w:separator/>
      </w:r>
    </w:p>
  </w:footnote>
  <w:footnote w:type="continuationSeparator" w:id="0">
    <w:p w14:paraId="6654D940" w14:textId="77777777" w:rsidR="00BA54F3" w:rsidRDefault="00BA54F3" w:rsidP="005E13FE">
      <w:pPr>
        <w:spacing w:after="0" w:line="240" w:lineRule="auto"/>
      </w:pPr>
      <w:r>
        <w:continuationSeparator/>
      </w:r>
    </w:p>
  </w:footnote>
  <w:footnote w:id="1">
    <w:p w14:paraId="1B66EBA9" w14:textId="74677FBB" w:rsidR="003F020D" w:rsidRPr="0018167D" w:rsidRDefault="003F020D" w:rsidP="00DF2261">
      <w:pPr>
        <w:pStyle w:val="Tekstprzypisudolnego"/>
        <w:spacing w:line="288" w:lineRule="auto"/>
        <w:ind w:left="426" w:hanging="142"/>
        <w:jc w:val="left"/>
        <w:rPr>
          <w:sz w:val="18"/>
        </w:rPr>
      </w:pPr>
      <w:r>
        <w:rPr>
          <w:rStyle w:val="Odwoanieprzypisudolnego"/>
        </w:rPr>
        <w:footnoteRef/>
      </w:r>
      <w:r>
        <w:t xml:space="preserve"> </w:t>
      </w:r>
      <w:r w:rsidRPr="0018167D">
        <w:rPr>
          <w:sz w:val="18"/>
        </w:rPr>
        <w:t xml:space="preserve">Przeprowadzając analizę finansową można posiłkować się </w:t>
      </w:r>
      <w:r w:rsidRPr="0018167D">
        <w:rPr>
          <w:i/>
          <w:iCs/>
          <w:sz w:val="18"/>
        </w:rPr>
        <w:t>„Metodyką oceny finansowej wniosku o dofinansowanie”</w:t>
      </w:r>
      <w:r>
        <w:rPr>
          <w:sz w:val="18"/>
        </w:rPr>
        <w:t xml:space="preserve"> dostępną na stronach NFOŚiGW (</w:t>
      </w:r>
      <w:hyperlink r:id="rId1" w:history="1">
        <w:r w:rsidR="004E60DD" w:rsidRPr="00CD7A83">
          <w:rPr>
            <w:rStyle w:val="Hipercze"/>
            <w:sz w:val="18"/>
          </w:rPr>
          <w:t>https://www.gov.pl/web/nfosigw/informacje-ogolne</w:t>
        </w:r>
      </w:hyperlink>
      <w:r w:rsidR="004E60DD">
        <w:rPr>
          <w:sz w:val="18"/>
        </w:rPr>
        <w:t>)</w:t>
      </w:r>
      <w:r>
        <w:rPr>
          <w:sz w:val="18"/>
        </w:rPr>
        <w:t>.</w:t>
      </w:r>
    </w:p>
  </w:footnote>
  <w:footnote w:id="2">
    <w:p w14:paraId="566B8244" w14:textId="77777777" w:rsidR="003F020D" w:rsidRPr="0040087D" w:rsidRDefault="003F020D" w:rsidP="00DF2261">
      <w:pPr>
        <w:pStyle w:val="Tekstprzypisudolnego"/>
        <w:spacing w:before="60" w:beforeAutospacing="0" w:line="288" w:lineRule="auto"/>
        <w:ind w:left="142" w:hanging="142"/>
        <w:jc w:val="left"/>
        <w:rPr>
          <w:sz w:val="18"/>
        </w:rPr>
      </w:pPr>
      <w:r w:rsidRPr="0040087D">
        <w:rPr>
          <w:rStyle w:val="Odwoanieprzypisudolnego"/>
          <w:sz w:val="18"/>
        </w:rPr>
        <w:footnoteRef/>
      </w:r>
      <w:r>
        <w:rPr>
          <w:sz w:val="18"/>
        </w:rPr>
        <w:tab/>
      </w:r>
      <w:r w:rsidRPr="0040087D">
        <w:rPr>
          <w:sz w:val="18"/>
        </w:rPr>
        <w:t>Dotyczy podmiotów prowadzących gospodarkę finansową w formie budżetu (w tym: JST i ich związki).</w:t>
      </w:r>
    </w:p>
  </w:footnote>
  <w:footnote w:id="3">
    <w:p w14:paraId="75715CAB" w14:textId="77777777" w:rsidR="003F020D" w:rsidRPr="0040087D" w:rsidRDefault="003F020D" w:rsidP="00DF2261">
      <w:pPr>
        <w:pStyle w:val="Tekstprzypisudolnego"/>
        <w:spacing w:before="60" w:beforeAutospacing="0" w:line="288" w:lineRule="auto"/>
        <w:ind w:left="142" w:hanging="142"/>
        <w:jc w:val="left"/>
        <w:rPr>
          <w:sz w:val="18"/>
        </w:rPr>
      </w:pPr>
      <w:r w:rsidRPr="0040087D">
        <w:rPr>
          <w:rStyle w:val="Odwoanieprzypisudolnego"/>
          <w:sz w:val="18"/>
        </w:rPr>
        <w:footnoteRef/>
      </w:r>
      <w:r>
        <w:rPr>
          <w:sz w:val="18"/>
        </w:rPr>
        <w:tab/>
      </w:r>
      <w:r w:rsidRPr="0040087D">
        <w:rPr>
          <w:sz w:val="18"/>
        </w:rPr>
        <w:t xml:space="preserve">Wykonalność i trwałość finansową należy rozpatrywać w odniesieniu do Wnioskodawcy z uwzględnieniem realizowanego przedsięwzięcia.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BDC39" w14:textId="00F0C173" w:rsidR="005E13FE" w:rsidRPr="004E60DD" w:rsidRDefault="005E13FE" w:rsidP="00DD71CA">
    <w:pPr>
      <w:pStyle w:val="Nagwek1"/>
      <w:spacing w:before="0" w:line="240" w:lineRule="auto"/>
      <w:jc w:val="right"/>
      <w:rPr>
        <w:rFonts w:ascii="Open Sans" w:hAnsi="Open Sans" w:cs="Open Sans"/>
        <w:color w:val="auto"/>
        <w:sz w:val="20"/>
        <w:szCs w:val="20"/>
      </w:rPr>
    </w:pPr>
    <w:r w:rsidRPr="00332867">
      <w:rPr>
        <w:noProof/>
        <w:lang w:eastAsia="pl-PL"/>
      </w:rPr>
      <w:drawing>
        <wp:inline distT="0" distB="0" distL="0" distR="0" wp14:anchorId="5CA71DFB" wp14:editId="22273AE8">
          <wp:extent cx="5760720" cy="571500"/>
          <wp:effectExtent l="0" t="0" r="0" b="0"/>
          <wp:docPr id="552492603"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CF197E" w:rsidRPr="004E60DD">
      <w:rPr>
        <w:rFonts w:ascii="Open Sans" w:hAnsi="Open Sans" w:cs="Open Sans"/>
        <w:color w:val="auto"/>
        <w:sz w:val="20"/>
        <w:szCs w:val="20"/>
      </w:rPr>
      <w:t>Załącznik 1 do Listy załączników</w:t>
    </w:r>
    <w:r w:rsidR="004E60DD" w:rsidRPr="004E60DD">
      <w:rPr>
        <w:rFonts w:ascii="Open Sans" w:hAnsi="Open Sans" w:cs="Open Sans"/>
        <w:color w:val="auto"/>
        <w:sz w:val="20"/>
        <w:szCs w:val="20"/>
      </w:rPr>
      <w:t xml:space="preserve"> </w:t>
    </w:r>
    <w:r w:rsidR="00CF197E" w:rsidRPr="004E60DD">
      <w:rPr>
        <w:rFonts w:ascii="Open Sans" w:hAnsi="Open Sans" w:cs="Open Sans"/>
        <w:color w:val="auto"/>
        <w:sz w:val="20"/>
        <w:szCs w:val="20"/>
      </w:rPr>
      <w:t xml:space="preserve">do wniosku o dofinansowanie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A5674"/>
    <w:multiLevelType w:val="hybridMultilevel"/>
    <w:tmpl w:val="BA9ED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4B65FE"/>
    <w:multiLevelType w:val="hybridMultilevel"/>
    <w:tmpl w:val="07A6ABA8"/>
    <w:lvl w:ilvl="0" w:tplc="04150001">
      <w:start w:val="1"/>
      <w:numFmt w:val="bullet"/>
      <w:lvlText w:val=""/>
      <w:lvlJc w:val="left"/>
      <w:pPr>
        <w:ind w:left="1069" w:hanging="360"/>
      </w:pPr>
      <w:rPr>
        <w:rFonts w:ascii="Symbol" w:hAnsi="Symbol"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15:restartNumberingAfterBreak="0">
    <w:nsid w:val="14F7718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351A79"/>
    <w:multiLevelType w:val="hybridMultilevel"/>
    <w:tmpl w:val="A4388ED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 w15:restartNumberingAfterBreak="0">
    <w:nsid w:val="1A776FEC"/>
    <w:multiLevelType w:val="hybridMultilevel"/>
    <w:tmpl w:val="F4B2E424"/>
    <w:lvl w:ilvl="0" w:tplc="39549E5A">
      <w:start w:val="1"/>
      <w:numFmt w:val="bullet"/>
      <w:lvlText w:val="-"/>
      <w:lvlJc w:val="left"/>
      <w:pPr>
        <w:ind w:left="1496" w:hanging="360"/>
      </w:pPr>
      <w:rPr>
        <w:rFonts w:ascii="Times New Roman" w:hAnsi="Times New Roman" w:cs="Times New Roman"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5" w15:restartNumberingAfterBreak="0">
    <w:nsid w:val="28C11D68"/>
    <w:multiLevelType w:val="hybridMultilevel"/>
    <w:tmpl w:val="872AF51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41FE0173"/>
    <w:multiLevelType w:val="multilevel"/>
    <w:tmpl w:val="61DCA552"/>
    <w:lvl w:ilvl="0">
      <w:start w:val="1"/>
      <w:numFmt w:val="upperRoman"/>
      <w:lvlText w:val="%1."/>
      <w:lvlJc w:val="left"/>
      <w:pPr>
        <w:tabs>
          <w:tab w:val="num" w:pos="360"/>
        </w:tabs>
        <w:ind w:left="284" w:hanging="284"/>
      </w:pPr>
      <w:rPr>
        <w:rFonts w:hint="default"/>
      </w:rPr>
    </w:lvl>
    <w:lvl w:ilvl="1">
      <w:start w:val="1"/>
      <w:numFmt w:val="decimal"/>
      <w:lvlText w:val="%2."/>
      <w:lvlJc w:val="left"/>
      <w:pPr>
        <w:tabs>
          <w:tab w:val="num" w:pos="717"/>
        </w:tabs>
        <w:ind w:left="641" w:hanging="284"/>
      </w:pPr>
      <w:rPr>
        <w:rFonts w:hint="default"/>
        <w:b/>
      </w:rPr>
    </w:lvl>
    <w:lvl w:ilvl="2">
      <w:start w:val="1"/>
      <w:numFmt w:val="lowerLetter"/>
      <w:lvlText w:val="%3)"/>
      <w:lvlJc w:val="left"/>
      <w:pPr>
        <w:tabs>
          <w:tab w:val="num" w:pos="1074"/>
        </w:tabs>
        <w:ind w:left="998" w:hanging="284"/>
      </w:pPr>
      <w:rPr>
        <w:rFonts w:hint="default"/>
        <w:b w:val="0"/>
      </w:rPr>
    </w:lvl>
    <w:lvl w:ilvl="3">
      <w:start w:val="1"/>
      <w:numFmt w:val="decimal"/>
      <w:lvlText w:val="%1.%2.%3.%4."/>
      <w:lvlJc w:val="left"/>
      <w:pPr>
        <w:tabs>
          <w:tab w:val="num" w:pos="1431"/>
        </w:tabs>
        <w:ind w:left="1355" w:hanging="284"/>
      </w:pPr>
      <w:rPr>
        <w:rFonts w:hint="default"/>
      </w:rPr>
    </w:lvl>
    <w:lvl w:ilvl="4">
      <w:start w:val="1"/>
      <w:numFmt w:val="decimal"/>
      <w:lvlText w:val="%1.%2.%3.%4.%5."/>
      <w:lvlJc w:val="left"/>
      <w:pPr>
        <w:tabs>
          <w:tab w:val="num" w:pos="1788"/>
        </w:tabs>
        <w:ind w:left="1712" w:hanging="284"/>
      </w:pPr>
      <w:rPr>
        <w:rFonts w:hint="default"/>
      </w:rPr>
    </w:lvl>
    <w:lvl w:ilvl="5">
      <w:start w:val="1"/>
      <w:numFmt w:val="decimal"/>
      <w:lvlText w:val="%1.%2.%3.%4.%5.%6."/>
      <w:lvlJc w:val="left"/>
      <w:pPr>
        <w:tabs>
          <w:tab w:val="num" w:pos="2145"/>
        </w:tabs>
        <w:ind w:left="2069" w:hanging="284"/>
      </w:pPr>
      <w:rPr>
        <w:rFonts w:hint="default"/>
      </w:rPr>
    </w:lvl>
    <w:lvl w:ilvl="6">
      <w:start w:val="1"/>
      <w:numFmt w:val="decimal"/>
      <w:lvlText w:val="%1.%2.%3.%4.%5.%6.%7."/>
      <w:lvlJc w:val="left"/>
      <w:pPr>
        <w:tabs>
          <w:tab w:val="num" w:pos="2502"/>
        </w:tabs>
        <w:ind w:left="2426" w:hanging="284"/>
      </w:pPr>
      <w:rPr>
        <w:rFonts w:hint="default"/>
      </w:rPr>
    </w:lvl>
    <w:lvl w:ilvl="7">
      <w:start w:val="1"/>
      <w:numFmt w:val="decimal"/>
      <w:lvlText w:val="%1.%2.%3.%4.%5.%6.%7.%8."/>
      <w:lvlJc w:val="left"/>
      <w:pPr>
        <w:tabs>
          <w:tab w:val="num" w:pos="2859"/>
        </w:tabs>
        <w:ind w:left="2783" w:hanging="284"/>
      </w:pPr>
      <w:rPr>
        <w:rFonts w:hint="default"/>
      </w:rPr>
    </w:lvl>
    <w:lvl w:ilvl="8">
      <w:start w:val="1"/>
      <w:numFmt w:val="decimal"/>
      <w:lvlText w:val="%1.%2.%3.%4.%5.%6.%7.%8.%9."/>
      <w:lvlJc w:val="left"/>
      <w:pPr>
        <w:tabs>
          <w:tab w:val="num" w:pos="3216"/>
        </w:tabs>
        <w:ind w:left="3140" w:hanging="284"/>
      </w:pPr>
      <w:rPr>
        <w:rFonts w:hint="default"/>
      </w:rPr>
    </w:lvl>
  </w:abstractNum>
  <w:abstractNum w:abstractNumId="7" w15:restartNumberingAfterBreak="0">
    <w:nsid w:val="47816936"/>
    <w:multiLevelType w:val="hybridMultilevel"/>
    <w:tmpl w:val="200CF55E"/>
    <w:lvl w:ilvl="0" w:tplc="89C24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DE75FFA"/>
    <w:multiLevelType w:val="hybridMultilevel"/>
    <w:tmpl w:val="AD5EA236"/>
    <w:lvl w:ilvl="0" w:tplc="04150001">
      <w:start w:val="1"/>
      <w:numFmt w:val="bullet"/>
      <w:lvlText w:val=""/>
      <w:lvlJc w:val="left"/>
      <w:pPr>
        <w:ind w:left="1069" w:hanging="360"/>
      </w:pPr>
      <w:rPr>
        <w:rFonts w:ascii="Symbol" w:hAnsi="Symbol"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 w15:restartNumberingAfterBreak="0">
    <w:nsid w:val="5A15226C"/>
    <w:multiLevelType w:val="hybridMultilevel"/>
    <w:tmpl w:val="9E6050E4"/>
    <w:lvl w:ilvl="0" w:tplc="04150013">
      <w:start w:val="1"/>
      <w:numFmt w:val="upperRoman"/>
      <w:lvlText w:val="%1."/>
      <w:lvlJc w:val="right"/>
      <w:pPr>
        <w:ind w:left="360"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5C1F5564"/>
    <w:multiLevelType w:val="hybridMultilevel"/>
    <w:tmpl w:val="39E8CE1C"/>
    <w:lvl w:ilvl="0" w:tplc="89C245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0DCB244"/>
    <w:multiLevelType w:val="hybridMultilevel"/>
    <w:tmpl w:val="2EDACAD0"/>
    <w:lvl w:ilvl="0" w:tplc="39ACCDF8">
      <w:start w:val="1"/>
      <w:numFmt w:val="bullet"/>
      <w:lvlText w:val=""/>
      <w:lvlJc w:val="left"/>
      <w:pPr>
        <w:ind w:left="720" w:hanging="360"/>
      </w:pPr>
      <w:rPr>
        <w:rFonts w:ascii="Symbol" w:hAnsi="Symbol" w:hint="default"/>
      </w:rPr>
    </w:lvl>
    <w:lvl w:ilvl="1" w:tplc="5142C04C">
      <w:start w:val="1"/>
      <w:numFmt w:val="bullet"/>
      <w:lvlText w:val="o"/>
      <w:lvlJc w:val="left"/>
      <w:pPr>
        <w:ind w:left="1440" w:hanging="360"/>
      </w:pPr>
      <w:rPr>
        <w:rFonts w:ascii="Courier New" w:hAnsi="Courier New" w:hint="default"/>
      </w:rPr>
    </w:lvl>
    <w:lvl w:ilvl="2" w:tplc="DE64505E">
      <w:start w:val="1"/>
      <w:numFmt w:val="bullet"/>
      <w:lvlText w:val=""/>
      <w:lvlJc w:val="left"/>
      <w:pPr>
        <w:ind w:left="2160" w:hanging="360"/>
      </w:pPr>
      <w:rPr>
        <w:rFonts w:ascii="Wingdings" w:hAnsi="Wingdings" w:hint="default"/>
      </w:rPr>
    </w:lvl>
    <w:lvl w:ilvl="3" w:tplc="893AF892">
      <w:start w:val="1"/>
      <w:numFmt w:val="bullet"/>
      <w:lvlText w:val=""/>
      <w:lvlJc w:val="left"/>
      <w:pPr>
        <w:ind w:left="2880" w:hanging="360"/>
      </w:pPr>
      <w:rPr>
        <w:rFonts w:ascii="Symbol" w:hAnsi="Symbol" w:hint="default"/>
      </w:rPr>
    </w:lvl>
    <w:lvl w:ilvl="4" w:tplc="95DE0896">
      <w:start w:val="1"/>
      <w:numFmt w:val="bullet"/>
      <w:lvlText w:val="o"/>
      <w:lvlJc w:val="left"/>
      <w:pPr>
        <w:ind w:left="3600" w:hanging="360"/>
      </w:pPr>
      <w:rPr>
        <w:rFonts w:ascii="Courier New" w:hAnsi="Courier New" w:hint="default"/>
      </w:rPr>
    </w:lvl>
    <w:lvl w:ilvl="5" w:tplc="D624D6CC">
      <w:start w:val="1"/>
      <w:numFmt w:val="bullet"/>
      <w:lvlText w:val=""/>
      <w:lvlJc w:val="left"/>
      <w:pPr>
        <w:ind w:left="4320" w:hanging="360"/>
      </w:pPr>
      <w:rPr>
        <w:rFonts w:ascii="Wingdings" w:hAnsi="Wingdings" w:hint="default"/>
      </w:rPr>
    </w:lvl>
    <w:lvl w:ilvl="6" w:tplc="E7B4720C">
      <w:start w:val="1"/>
      <w:numFmt w:val="bullet"/>
      <w:lvlText w:val=""/>
      <w:lvlJc w:val="left"/>
      <w:pPr>
        <w:ind w:left="5040" w:hanging="360"/>
      </w:pPr>
      <w:rPr>
        <w:rFonts w:ascii="Symbol" w:hAnsi="Symbol" w:hint="default"/>
      </w:rPr>
    </w:lvl>
    <w:lvl w:ilvl="7" w:tplc="8ED4BFF2">
      <w:start w:val="1"/>
      <w:numFmt w:val="bullet"/>
      <w:lvlText w:val="o"/>
      <w:lvlJc w:val="left"/>
      <w:pPr>
        <w:ind w:left="5760" w:hanging="360"/>
      </w:pPr>
      <w:rPr>
        <w:rFonts w:ascii="Courier New" w:hAnsi="Courier New" w:hint="default"/>
      </w:rPr>
    </w:lvl>
    <w:lvl w:ilvl="8" w:tplc="48E024D6">
      <w:start w:val="1"/>
      <w:numFmt w:val="bullet"/>
      <w:lvlText w:val=""/>
      <w:lvlJc w:val="left"/>
      <w:pPr>
        <w:ind w:left="6480" w:hanging="360"/>
      </w:pPr>
      <w:rPr>
        <w:rFonts w:ascii="Wingdings" w:hAnsi="Wingdings" w:hint="default"/>
      </w:rPr>
    </w:lvl>
  </w:abstractNum>
  <w:abstractNum w:abstractNumId="12" w15:restartNumberingAfterBreak="0">
    <w:nsid w:val="63DE75EC"/>
    <w:multiLevelType w:val="hybridMultilevel"/>
    <w:tmpl w:val="84D0C6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C5543FF"/>
    <w:multiLevelType w:val="hybridMultilevel"/>
    <w:tmpl w:val="170C7786"/>
    <w:lvl w:ilvl="0" w:tplc="39549E5A">
      <w:start w:val="1"/>
      <w:numFmt w:val="bullet"/>
      <w:lvlText w:val="-"/>
      <w:lvlJc w:val="left"/>
      <w:pPr>
        <w:ind w:left="1069" w:hanging="360"/>
      </w:pPr>
      <w:rPr>
        <w:rFonts w:ascii="Times New Roman" w:hAnsi="Times New Roman" w:cs="Times New Roman" w:hint="default"/>
        <w:color w:val="auto"/>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4" w15:restartNumberingAfterBreak="0">
    <w:nsid w:val="788F563A"/>
    <w:multiLevelType w:val="multilevel"/>
    <w:tmpl w:val="6D6AF67E"/>
    <w:lvl w:ilvl="0">
      <w:start w:val="1"/>
      <w:numFmt w:val="decimal"/>
      <w:lvlText w:val="%1."/>
      <w:lvlJc w:val="left"/>
      <w:pPr>
        <w:ind w:left="360" w:hanging="360"/>
      </w:pPr>
    </w:lvl>
    <w:lvl w:ilvl="1">
      <w:start w:val="1"/>
      <w:numFmt w:val="bullet"/>
      <w:lvlText w:val="-"/>
      <w:lvlJc w:val="left"/>
      <w:pPr>
        <w:ind w:left="720" w:hanging="360"/>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53550886">
    <w:abstractNumId w:val="0"/>
  </w:num>
  <w:num w:numId="2" w16cid:durableId="603028849">
    <w:abstractNumId w:val="0"/>
  </w:num>
  <w:num w:numId="3" w16cid:durableId="1843082917">
    <w:abstractNumId w:val="6"/>
  </w:num>
  <w:num w:numId="4" w16cid:durableId="1108429607">
    <w:abstractNumId w:val="2"/>
  </w:num>
  <w:num w:numId="5" w16cid:durableId="1865749169">
    <w:abstractNumId w:val="12"/>
  </w:num>
  <w:num w:numId="6" w16cid:durableId="1036006434">
    <w:abstractNumId w:val="9"/>
  </w:num>
  <w:num w:numId="7" w16cid:durableId="530462696">
    <w:abstractNumId w:val="8"/>
  </w:num>
  <w:num w:numId="8" w16cid:durableId="509492736">
    <w:abstractNumId w:val="5"/>
  </w:num>
  <w:num w:numId="9" w16cid:durableId="1944267292">
    <w:abstractNumId w:val="1"/>
  </w:num>
  <w:num w:numId="10" w16cid:durableId="1827503165">
    <w:abstractNumId w:val="10"/>
  </w:num>
  <w:num w:numId="11" w16cid:durableId="650670648">
    <w:abstractNumId w:val="7"/>
  </w:num>
  <w:num w:numId="12" w16cid:durableId="1350646461">
    <w:abstractNumId w:val="14"/>
  </w:num>
  <w:num w:numId="13" w16cid:durableId="1079057781">
    <w:abstractNumId w:val="13"/>
  </w:num>
  <w:num w:numId="14" w16cid:durableId="511996031">
    <w:abstractNumId w:val="4"/>
  </w:num>
  <w:num w:numId="15" w16cid:durableId="293294852">
    <w:abstractNumId w:val="11"/>
  </w:num>
  <w:num w:numId="16" w16cid:durableId="125366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F20"/>
    <w:rsid w:val="000446AD"/>
    <w:rsid w:val="000B3688"/>
    <w:rsid w:val="000E365E"/>
    <w:rsid w:val="00171EC9"/>
    <w:rsid w:val="00177330"/>
    <w:rsid w:val="001869CD"/>
    <w:rsid w:val="00242DDA"/>
    <w:rsid w:val="00250A7B"/>
    <w:rsid w:val="00251394"/>
    <w:rsid w:val="002B2381"/>
    <w:rsid w:val="00330B7A"/>
    <w:rsid w:val="00374823"/>
    <w:rsid w:val="003F020D"/>
    <w:rsid w:val="00406F9F"/>
    <w:rsid w:val="0043612C"/>
    <w:rsid w:val="0045100B"/>
    <w:rsid w:val="00453814"/>
    <w:rsid w:val="004762D3"/>
    <w:rsid w:val="004E60DD"/>
    <w:rsid w:val="00506E2A"/>
    <w:rsid w:val="00520DC2"/>
    <w:rsid w:val="00546215"/>
    <w:rsid w:val="005730C8"/>
    <w:rsid w:val="005743C6"/>
    <w:rsid w:val="005744EC"/>
    <w:rsid w:val="005E13FE"/>
    <w:rsid w:val="0060286A"/>
    <w:rsid w:val="00604FFB"/>
    <w:rsid w:val="0060515F"/>
    <w:rsid w:val="00620F20"/>
    <w:rsid w:val="00635C3C"/>
    <w:rsid w:val="0067084D"/>
    <w:rsid w:val="006F406A"/>
    <w:rsid w:val="006F5278"/>
    <w:rsid w:val="007A179E"/>
    <w:rsid w:val="007A2AE4"/>
    <w:rsid w:val="00863E40"/>
    <w:rsid w:val="00891A90"/>
    <w:rsid w:val="0090167C"/>
    <w:rsid w:val="00904187"/>
    <w:rsid w:val="0099240A"/>
    <w:rsid w:val="009933D3"/>
    <w:rsid w:val="009C0376"/>
    <w:rsid w:val="009C4123"/>
    <w:rsid w:val="009D1391"/>
    <w:rsid w:val="009D3041"/>
    <w:rsid w:val="00A17481"/>
    <w:rsid w:val="00A27BE0"/>
    <w:rsid w:val="00AA7F59"/>
    <w:rsid w:val="00AB7739"/>
    <w:rsid w:val="00B13EF9"/>
    <w:rsid w:val="00BA54F3"/>
    <w:rsid w:val="00BD49D2"/>
    <w:rsid w:val="00C064F3"/>
    <w:rsid w:val="00C1471C"/>
    <w:rsid w:val="00C2158E"/>
    <w:rsid w:val="00C51823"/>
    <w:rsid w:val="00CB2431"/>
    <w:rsid w:val="00CF197E"/>
    <w:rsid w:val="00DD71CA"/>
    <w:rsid w:val="00DF2261"/>
    <w:rsid w:val="00E00ACF"/>
    <w:rsid w:val="00E11F69"/>
    <w:rsid w:val="00E46CFF"/>
    <w:rsid w:val="00E81C4F"/>
    <w:rsid w:val="00F30588"/>
    <w:rsid w:val="00F34A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0E40D"/>
  <w15:chartTrackingRefBased/>
  <w15:docId w15:val="{35731697-81BF-400E-8EE2-89390755D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0F20"/>
  </w:style>
  <w:style w:type="paragraph" w:styleId="Nagwek1">
    <w:name w:val="heading 1"/>
    <w:basedOn w:val="Normalny"/>
    <w:next w:val="Normalny"/>
    <w:link w:val="Nagwek1Znak"/>
    <w:uiPriority w:val="9"/>
    <w:qFormat/>
    <w:rsid w:val="00406F9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20F20"/>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A27BE0"/>
    <w:pPr>
      <w:ind w:left="720"/>
      <w:contextualSpacing/>
    </w:pPr>
  </w:style>
  <w:style w:type="paragraph" w:styleId="Nagwek">
    <w:name w:val="header"/>
    <w:basedOn w:val="Normalny"/>
    <w:link w:val="NagwekZnak"/>
    <w:uiPriority w:val="99"/>
    <w:unhideWhenUsed/>
    <w:rsid w:val="005E13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13FE"/>
  </w:style>
  <w:style w:type="paragraph" w:styleId="Stopka">
    <w:name w:val="footer"/>
    <w:basedOn w:val="Normalny"/>
    <w:link w:val="StopkaZnak"/>
    <w:uiPriority w:val="99"/>
    <w:unhideWhenUsed/>
    <w:rsid w:val="005E13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13FE"/>
  </w:style>
  <w:style w:type="paragraph" w:styleId="Tekstpodstawowy">
    <w:name w:val="Body Text"/>
    <w:basedOn w:val="Normalny"/>
    <w:link w:val="TekstpodstawowyZnak"/>
    <w:rsid w:val="004762D3"/>
    <w:pPr>
      <w:spacing w:before="100" w:beforeAutospacing="1" w:after="0" w:line="240" w:lineRule="auto"/>
      <w:ind w:left="568" w:hanging="284"/>
      <w:jc w:val="both"/>
    </w:pPr>
    <w:rPr>
      <w:rFonts w:ascii="Times New Roman" w:eastAsia="Times New Roman" w:hAnsi="Times New Roman" w:cs="Times New Roman"/>
      <w:b/>
      <w:sz w:val="20"/>
      <w:szCs w:val="20"/>
      <w:lang w:eastAsia="pl-PL"/>
    </w:rPr>
  </w:style>
  <w:style w:type="character" w:customStyle="1" w:styleId="TekstpodstawowyZnak">
    <w:name w:val="Tekst podstawowy Znak"/>
    <w:basedOn w:val="Domylnaczcionkaakapitu"/>
    <w:link w:val="Tekstpodstawowy"/>
    <w:rsid w:val="004762D3"/>
    <w:rPr>
      <w:rFonts w:ascii="Times New Roman" w:eastAsia="Times New Roman" w:hAnsi="Times New Roman" w:cs="Times New Roman"/>
      <w:b/>
      <w:sz w:val="20"/>
      <w:szCs w:val="20"/>
      <w:lang w:eastAsia="pl-PL"/>
    </w:rPr>
  </w:style>
  <w:style w:type="paragraph" w:styleId="Tekstprzypisudolnego">
    <w:name w:val="footnote text"/>
    <w:basedOn w:val="Normalny"/>
    <w:link w:val="TekstprzypisudolnegoZnak"/>
    <w:semiHidden/>
    <w:rsid w:val="004762D3"/>
    <w:pPr>
      <w:spacing w:before="100" w:beforeAutospacing="1" w:after="0" w:line="240" w:lineRule="auto"/>
      <w:ind w:left="568" w:hanging="284"/>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4762D3"/>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4762D3"/>
    <w:rPr>
      <w:vertAlign w:val="superscript"/>
    </w:rPr>
  </w:style>
  <w:style w:type="paragraph" w:customStyle="1" w:styleId="Akapitzlist1">
    <w:name w:val="Akapit z listą1"/>
    <w:basedOn w:val="Normalny"/>
    <w:uiPriority w:val="34"/>
    <w:qFormat/>
    <w:rsid w:val="004762D3"/>
    <w:pPr>
      <w:spacing w:after="200" w:line="276" w:lineRule="auto"/>
      <w:ind w:left="720"/>
      <w:contextualSpacing/>
    </w:pPr>
    <w:rPr>
      <w:rFonts w:ascii="Calibri" w:eastAsia="Times New Roman" w:hAnsi="Calibri" w:cs="Times New Roman"/>
    </w:rPr>
  </w:style>
  <w:style w:type="character" w:customStyle="1" w:styleId="Nagwek1Znak">
    <w:name w:val="Nagłówek 1 Znak"/>
    <w:basedOn w:val="Domylnaczcionkaakapitu"/>
    <w:link w:val="Nagwek1"/>
    <w:uiPriority w:val="9"/>
    <w:rsid w:val="00406F9F"/>
    <w:rPr>
      <w:rFonts w:asciiTheme="majorHAnsi" w:eastAsiaTheme="majorEastAsia" w:hAnsiTheme="majorHAnsi" w:cstheme="majorBidi"/>
      <w:color w:val="2E74B5" w:themeColor="accent1" w:themeShade="BF"/>
      <w:sz w:val="32"/>
      <w:szCs w:val="32"/>
    </w:rPr>
  </w:style>
  <w:style w:type="character" w:styleId="Hipercze">
    <w:name w:val="Hyperlink"/>
    <w:basedOn w:val="Domylnaczcionkaakapitu"/>
    <w:uiPriority w:val="99"/>
    <w:unhideWhenUsed/>
    <w:rsid w:val="004E60DD"/>
    <w:rPr>
      <w:color w:val="0563C1" w:themeColor="hyperlink"/>
      <w:u w:val="single"/>
    </w:rPr>
  </w:style>
  <w:style w:type="character" w:styleId="Nierozpoznanawzmianka">
    <w:name w:val="Unresolved Mention"/>
    <w:basedOn w:val="Domylnaczcionkaakapitu"/>
    <w:uiPriority w:val="99"/>
    <w:semiHidden/>
    <w:unhideWhenUsed/>
    <w:rsid w:val="004E60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829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gov.pl/web/nfosigw/informacje-ogol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2275</Words>
  <Characters>13651</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Instrukcja sporządzania studium wykonalności i modelu finansowego</vt:lpstr>
    </vt:vector>
  </TitlesOfParts>
  <Company/>
  <LinksUpToDate>false</LinksUpToDate>
  <CharactersWithSpaces>15895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sporządzania studium wykonalności i modelu finansowego</dc:title>
  <dc:subject/>
  <dc:creator>Kryczkowski Paweł</dc:creator>
  <cp:keywords/>
  <dc:description/>
  <cp:lastModifiedBy>Cendrowska Anna</cp:lastModifiedBy>
  <cp:revision>8</cp:revision>
  <dcterms:created xsi:type="dcterms:W3CDTF">2025-11-10T12:50:00Z</dcterms:created>
  <dcterms:modified xsi:type="dcterms:W3CDTF">2025-11-27T11:51:00Z</dcterms:modified>
</cp:coreProperties>
</file>